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425"/>
      <w:bookmarkStart w:id="2" w:name="_Toc15378441"/>
      <w:bookmarkStart w:id="3" w:name="_Toc15396597"/>
      <w:bookmarkStart w:id="4" w:name="_Toc15396475"/>
      <w:bookmarkStart w:id="5" w:name="_Toc15377193"/>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广元市政务服务和公共资源交易中心单位</w:t>
      </w:r>
      <w:r>
        <w:rPr>
          <w:rFonts w:hint="eastAsia" w:ascii="Times New Roman" w:hAnsi="Times New Roman" w:eastAsia="方正小标宋简体" w:cs="Times New Roman"/>
          <w:color w:val="auto"/>
          <w:kern w:val="2"/>
          <w:sz w:val="44"/>
          <w:szCs w:val="44"/>
          <w:highlight w:val="none"/>
          <w:lang w:val="en-US" w:eastAsia="zh-CN" w:bidi="ar-SA"/>
        </w:rPr>
        <w:t>决算</w:t>
      </w:r>
    </w:p>
    <w:p>
      <w:pPr>
        <w:spacing w:line="600" w:lineRule="exact"/>
        <w:jc w:val="center"/>
        <w:outlineLvl w:val="0"/>
        <w:rPr>
          <w:rFonts w:ascii="Times New Roman" w:hAnsi="Times New Roman" w:eastAsia="方正小标宋简体"/>
          <w:color w:val="auto"/>
          <w:sz w:val="72"/>
          <w:szCs w:val="72"/>
          <w:highlight w:val="none"/>
        </w:rPr>
      </w:pPr>
    </w:p>
    <w:p>
      <w:pPr>
        <w:pStyle w:val="26"/>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ascii="Times New Roman" w:hAnsi="Times New Roman"/>
        </w:rPr>
      </w:pPr>
    </w:p>
    <w:bookmarkEnd w:id="0"/>
    <w:bookmarkEnd w:id="1"/>
    <w:bookmarkEnd w:id="2"/>
    <w:bookmarkEnd w:id="3"/>
    <w:bookmarkEnd w:id="4"/>
    <w:bookmarkEnd w:id="5"/>
    <w:p>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pPr>
        <w:pStyle w:val="13"/>
        <w:suppressAutoHyphens/>
        <w:bidi w:val="0"/>
        <w:rPr>
          <w:rFonts w:hint="eastAsia" w:ascii="仿宋" w:hAnsi="仿宋" w:eastAsia="仿宋" w:cs="Times New Roman"/>
          <w:color w:val="auto"/>
          <w:highlight w:val="none"/>
        </w:rPr>
      </w:pPr>
      <w:r>
        <w:rPr>
          <w:rFonts w:hint="eastAsia" w:ascii="仿宋" w:hAnsi="仿宋" w:eastAsia="仿宋" w:cs="Times New Roman"/>
          <w:color w:val="auto"/>
          <w:highlight w:val="none"/>
        </w:rPr>
        <w:t>公开时间：20</w:t>
      </w:r>
      <w:r>
        <w:rPr>
          <w:rFonts w:hint="eastAsia" w:ascii="仿宋" w:hAnsi="仿宋" w:eastAsia="仿宋" w:cs="Times New Roman"/>
          <w:color w:val="auto"/>
          <w:highlight w:val="none"/>
          <w:lang w:val="en-US" w:eastAsia="zh-CN"/>
        </w:rPr>
        <w:t>24</w:t>
      </w:r>
      <w:r>
        <w:rPr>
          <w:rFonts w:hint="eastAsia" w:ascii="仿宋" w:hAnsi="仿宋" w:eastAsia="仿宋" w:cs="Times New Roman"/>
          <w:color w:val="auto"/>
          <w:highlight w:val="none"/>
        </w:rPr>
        <w:t>年</w:t>
      </w:r>
      <w:r>
        <w:rPr>
          <w:rFonts w:hint="eastAsia" w:ascii="仿宋" w:hAnsi="仿宋" w:eastAsia="仿宋" w:cs="Times New Roman"/>
          <w:color w:val="auto"/>
          <w:highlight w:val="none"/>
          <w:lang w:val="en-US" w:eastAsia="zh-CN"/>
        </w:rPr>
        <w:t xml:space="preserve"> 10 </w:t>
      </w:r>
      <w:r>
        <w:rPr>
          <w:rFonts w:hint="eastAsia" w:ascii="仿宋" w:hAnsi="仿宋" w:eastAsia="仿宋" w:cs="Times New Roman"/>
          <w:color w:val="auto"/>
          <w:highlight w:val="none"/>
        </w:rPr>
        <w:t>月</w:t>
      </w:r>
      <w:r>
        <w:rPr>
          <w:rFonts w:hint="eastAsia" w:ascii="仿宋" w:hAnsi="仿宋" w:eastAsia="仿宋" w:cs="Times New Roman"/>
          <w:color w:val="auto"/>
          <w:highlight w:val="none"/>
          <w:lang w:val="en-US" w:eastAsia="zh-CN"/>
        </w:rPr>
        <w:t xml:space="preserve"> 14 </w:t>
      </w:r>
      <w:r>
        <w:rPr>
          <w:rFonts w:hint="eastAsia" w:ascii="仿宋" w:hAnsi="仿宋" w:eastAsia="仿宋" w:cs="Times New Roman"/>
          <w:color w:val="auto"/>
          <w:highlight w:val="none"/>
        </w:rPr>
        <w:t>日</w:t>
      </w:r>
    </w:p>
    <w:sdt>
      <w:sdtPr>
        <w:rPr>
          <w:rFonts w:ascii="宋体" w:hAnsi="宋体" w:eastAsia="宋体" w:cs="Times New Roman"/>
          <w:kern w:val="2"/>
          <w:sz w:val="21"/>
          <w:szCs w:val="24"/>
          <w:lang w:val="en-US" w:eastAsia="zh-CN" w:bidi="ar-SA"/>
        </w:rPr>
        <w:id w:val="147483122"/>
        <w15:color w:val="DBDBDB"/>
        <w:docPartObj>
          <w:docPartGallery w:val="Table of Contents"/>
          <w:docPartUnique/>
        </w:docPartObj>
      </w:sdtPr>
      <w:sdtEndPr>
        <w:rPr>
          <w:rFonts w:hint="eastAsia" w:asciiTheme="majorEastAsia" w:hAnsiTheme="majorEastAsia" w:eastAsiaTheme="majorEastAsia" w:cstheme="majorEastAsia"/>
          <w:kern w:val="2"/>
          <w:sz w:val="20"/>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3"/>
            <w:tabs>
              <w:tab w:val="right" w:leader="dot" w:pos="8306"/>
              <w:tab w:val="clear" w:pos="8296"/>
            </w:tabs>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TOC \o "1-3" \h \u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_Toc28762 </w:instrText>
          </w:r>
          <w:r>
            <w:rPr>
              <w:rFonts w:hint="eastAsia" w:asciiTheme="majorEastAsia" w:hAnsiTheme="majorEastAsia" w:eastAsiaTheme="majorEastAsia" w:cstheme="majorEastAsia"/>
              <w:szCs w:val="24"/>
            </w:rP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eastAsia="方正小标宋简体" w:cs="方正小标宋简体"/>
              <w:highlight w:val="none"/>
              <w:lang w:eastAsia="zh-CN"/>
            </w:rPr>
            <w:t>单位</w:t>
          </w:r>
          <w:r>
            <w:rPr>
              <w:rFonts w:hint="eastAsia" w:ascii="Times New Roman" w:hAnsi="Times New Roman" w:eastAsia="方正小标宋简体" w:cs="方正小标宋简体"/>
              <w:bCs w:val="0"/>
              <w:highlight w:val="none"/>
            </w:rPr>
            <w:t>概况</w:t>
          </w:r>
          <w:r>
            <w:tab/>
          </w:r>
          <w:r>
            <w:fldChar w:fldCharType="begin"/>
          </w:r>
          <w:r>
            <w:instrText xml:space="preserve"> PAGEREF _Toc28762 \h </w:instrText>
          </w:r>
          <w:r>
            <w:fldChar w:fldCharType="separate"/>
          </w:r>
          <w:r>
            <w:t>- 1 -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_Toc8648 </w:instrText>
          </w:r>
          <w:r>
            <w:rPr>
              <w:rFonts w:hint="eastAsia" w:asciiTheme="majorEastAsia" w:hAnsiTheme="majorEastAsia" w:eastAsiaTheme="majorEastAsia" w:cstheme="majorEastAsia"/>
              <w:szCs w:val="24"/>
            </w:rPr>
            <w:fldChar w:fldCharType="separate"/>
          </w:r>
          <w:r>
            <w:rPr>
              <w:rFonts w:hint="eastAsia" w:ascii="Times New Roman" w:hAnsi="Times New Roman" w:eastAsia="黑体"/>
              <w:lang w:eastAsia="zh-CN"/>
            </w:rPr>
            <w:t xml:space="preserve">一、 </w:t>
          </w:r>
          <w:r>
            <w:rPr>
              <w:rFonts w:hint="eastAsia" w:ascii="Times New Roman" w:hAnsi="Times New Roman" w:eastAsia="黑体"/>
              <w:highlight w:val="none"/>
              <w:lang w:eastAsia="zh-CN"/>
            </w:rPr>
            <w:t>主要职责</w:t>
          </w:r>
          <w:r>
            <w:tab/>
          </w:r>
          <w:r>
            <w:fldChar w:fldCharType="begin"/>
          </w:r>
          <w:r>
            <w:instrText xml:space="preserve"> PAGEREF _Toc8648 \h </w:instrText>
          </w:r>
          <w:r>
            <w:fldChar w:fldCharType="separate"/>
          </w:r>
          <w:r>
            <w:t>- 1 -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_Toc20585 </w:instrText>
          </w:r>
          <w:r>
            <w:rPr>
              <w:rFonts w:hint="eastAsia" w:asciiTheme="majorEastAsia" w:hAnsiTheme="majorEastAsia" w:eastAsiaTheme="majorEastAsia" w:cstheme="majorEastAsia"/>
              <w:szCs w:val="24"/>
            </w:rP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_Toc20585 \h </w:instrText>
          </w:r>
          <w:r>
            <w:fldChar w:fldCharType="separate"/>
          </w:r>
          <w:r>
            <w:t>- 2 -</w:t>
          </w:r>
          <w:r>
            <w:fldChar w:fldCharType="end"/>
          </w:r>
          <w:r>
            <w:rPr>
              <w:rFonts w:hint="eastAsia" w:asciiTheme="majorEastAsia" w:hAnsiTheme="majorEastAsia" w:eastAsiaTheme="majorEastAsia" w:cstheme="majorEastAsia"/>
              <w:szCs w:val="24"/>
            </w:rPr>
            <w:fldChar w:fldCharType="end"/>
          </w:r>
        </w:p>
        <w:p>
          <w:pPr>
            <w:pStyle w:val="13"/>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_Toc10491 </w:instrText>
          </w:r>
          <w:r>
            <w:rPr>
              <w:rFonts w:hint="eastAsia" w:asciiTheme="majorEastAsia" w:hAnsiTheme="majorEastAsia" w:eastAsiaTheme="majorEastAsia" w:cstheme="majorEastAsia"/>
              <w:szCs w:val="24"/>
            </w:rP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eastAsia="方正小标宋简体" w:cs="方正小标宋简体"/>
              <w:highlight w:val="none"/>
              <w:lang w:eastAsia="zh-CN"/>
            </w:rPr>
            <w:t>单位</w:t>
          </w:r>
          <w:r>
            <w:rPr>
              <w:rFonts w:hint="eastAsia" w:ascii="Times New Roman" w:hAnsi="Times New Roman" w:eastAsia="方正小标宋简体" w:cs="方正小标宋简体"/>
              <w:highlight w:val="none"/>
            </w:rPr>
            <w:t>决算情况说明</w:t>
          </w:r>
          <w:r>
            <w:tab/>
          </w:r>
          <w:r>
            <w:fldChar w:fldCharType="begin"/>
          </w:r>
          <w:r>
            <w:instrText xml:space="preserve"> PAGEREF _Toc10491 \h </w:instrText>
          </w:r>
          <w:r>
            <w:fldChar w:fldCharType="separate"/>
          </w:r>
          <w:r>
            <w:t>- 3 -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_Toc10842 </w:instrText>
          </w:r>
          <w:r>
            <w:rPr>
              <w:rFonts w:hint="eastAsia" w:asciiTheme="majorEastAsia" w:hAnsiTheme="majorEastAsia" w:eastAsiaTheme="majorEastAsia" w:cstheme="majorEastAsia"/>
              <w:szCs w:val="24"/>
            </w:rP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_Toc10842 \h </w:instrText>
          </w:r>
          <w:r>
            <w:fldChar w:fldCharType="separate"/>
          </w:r>
          <w:r>
            <w:t>- 3 -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_Toc25441 </w:instrText>
          </w:r>
          <w:r>
            <w:rPr>
              <w:rFonts w:hint="eastAsia" w:asciiTheme="majorEastAsia" w:hAnsiTheme="majorEastAsia" w:eastAsiaTheme="majorEastAsia" w:cstheme="majorEastAsia"/>
              <w:szCs w:val="24"/>
            </w:rP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_Toc25441 \h </w:instrText>
          </w:r>
          <w:r>
            <w:fldChar w:fldCharType="separate"/>
          </w:r>
          <w:r>
            <w:t>- 3 -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_Toc3807 </w:instrText>
          </w:r>
          <w:r>
            <w:rPr>
              <w:rFonts w:hint="eastAsia" w:asciiTheme="majorEastAsia" w:hAnsiTheme="majorEastAsia" w:eastAsiaTheme="majorEastAsia" w:cstheme="majorEastAsia"/>
              <w:szCs w:val="24"/>
            </w:rP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_Toc3807 \h </w:instrText>
          </w:r>
          <w:r>
            <w:fldChar w:fldCharType="separate"/>
          </w:r>
          <w:r>
            <w:t>- 4 -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_Toc9479 </w:instrText>
          </w:r>
          <w:r>
            <w:rPr>
              <w:rFonts w:hint="eastAsia" w:asciiTheme="majorEastAsia" w:hAnsiTheme="majorEastAsia" w:eastAsiaTheme="majorEastAsia" w:cstheme="majorEastAsia"/>
              <w:szCs w:val="24"/>
            </w:rP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_Toc9479 \h </w:instrText>
          </w:r>
          <w:r>
            <w:fldChar w:fldCharType="separate"/>
          </w:r>
          <w:r>
            <w:t>- 5 -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_Toc6030 </w:instrText>
          </w:r>
          <w:r>
            <w:rPr>
              <w:rFonts w:hint="eastAsia" w:asciiTheme="majorEastAsia" w:hAnsiTheme="majorEastAsia" w:eastAsiaTheme="majorEastAsia" w:cstheme="majorEastAsia"/>
              <w:szCs w:val="24"/>
            </w:rP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_Toc6030 \h </w:instrText>
          </w:r>
          <w:r>
            <w:fldChar w:fldCharType="separate"/>
          </w:r>
          <w:r>
            <w:t>- 5 -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_Toc1703 </w:instrText>
          </w:r>
          <w:r>
            <w:rPr>
              <w:rFonts w:hint="eastAsia" w:asciiTheme="majorEastAsia" w:hAnsiTheme="majorEastAsia" w:eastAsiaTheme="majorEastAsia" w:cstheme="majorEastAsia"/>
              <w:szCs w:val="24"/>
            </w:rP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_Toc1703 \h </w:instrText>
          </w:r>
          <w:r>
            <w:fldChar w:fldCharType="separate"/>
          </w:r>
          <w:r>
            <w:t>- 8 -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_Toc19079 </w:instrText>
          </w:r>
          <w:r>
            <w:rPr>
              <w:rFonts w:hint="eastAsia" w:asciiTheme="majorEastAsia" w:hAnsiTheme="majorEastAsia" w:eastAsiaTheme="majorEastAsia" w:cstheme="majorEastAsia"/>
              <w:szCs w:val="24"/>
            </w:rP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_Toc19079 \h </w:instrText>
          </w:r>
          <w:r>
            <w:fldChar w:fldCharType="separate"/>
          </w:r>
          <w:r>
            <w:t>- 8 -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_Toc1502 </w:instrText>
          </w:r>
          <w:r>
            <w:rPr>
              <w:rFonts w:hint="eastAsia" w:asciiTheme="majorEastAsia" w:hAnsiTheme="majorEastAsia" w:eastAsiaTheme="majorEastAsia" w:cstheme="majorEastAsia"/>
              <w:szCs w:val="24"/>
            </w:rP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_Toc1502 \h </w:instrText>
          </w:r>
          <w:r>
            <w:fldChar w:fldCharType="separate"/>
          </w:r>
          <w:r>
            <w:t>- 10 -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_Toc11105 </w:instrText>
          </w:r>
          <w:r>
            <w:rPr>
              <w:rFonts w:hint="eastAsia" w:asciiTheme="majorEastAsia" w:hAnsiTheme="majorEastAsia" w:eastAsiaTheme="majorEastAsia" w:cstheme="majorEastAsia"/>
              <w:szCs w:val="24"/>
            </w:rP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_Toc11105 \h </w:instrText>
          </w:r>
          <w:r>
            <w:fldChar w:fldCharType="separate"/>
          </w:r>
          <w:r>
            <w:t>- 10 -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_Toc7843 </w:instrText>
          </w:r>
          <w:r>
            <w:rPr>
              <w:rFonts w:hint="eastAsia" w:asciiTheme="majorEastAsia" w:hAnsiTheme="majorEastAsia" w:eastAsiaTheme="majorEastAsia" w:cstheme="majorEastAsia"/>
              <w:szCs w:val="24"/>
            </w:rP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_Toc7843 \h </w:instrText>
          </w:r>
          <w:r>
            <w:fldChar w:fldCharType="separate"/>
          </w:r>
          <w:r>
            <w:t>- 10 -</w:t>
          </w:r>
          <w:r>
            <w:fldChar w:fldCharType="end"/>
          </w:r>
          <w:r>
            <w:rPr>
              <w:rFonts w:hint="eastAsia" w:asciiTheme="majorEastAsia" w:hAnsiTheme="majorEastAsia" w:eastAsiaTheme="majorEastAsia" w:cstheme="majorEastAsia"/>
              <w:szCs w:val="24"/>
            </w:rPr>
            <w:fldChar w:fldCharType="end"/>
          </w:r>
        </w:p>
        <w:p>
          <w:pPr>
            <w:pStyle w:val="13"/>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_Toc30309 </w:instrText>
          </w:r>
          <w:r>
            <w:rPr>
              <w:rFonts w:hint="eastAsia" w:asciiTheme="majorEastAsia" w:hAnsiTheme="majorEastAsia" w:eastAsiaTheme="majorEastAsia" w:cstheme="majorEastAsia"/>
              <w:szCs w:val="24"/>
            </w:rP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_Toc30309 \h </w:instrText>
          </w:r>
          <w:r>
            <w:fldChar w:fldCharType="separate"/>
          </w:r>
          <w:r>
            <w:t>- 12 -</w:t>
          </w:r>
          <w:r>
            <w:fldChar w:fldCharType="end"/>
          </w:r>
          <w:r>
            <w:rPr>
              <w:rFonts w:hint="eastAsia" w:asciiTheme="majorEastAsia" w:hAnsiTheme="majorEastAsia" w:eastAsiaTheme="majorEastAsia" w:cstheme="majorEastAsia"/>
              <w:szCs w:val="24"/>
            </w:rPr>
            <w:fldChar w:fldCharType="end"/>
          </w:r>
        </w:p>
        <w:p>
          <w:pPr>
            <w:pStyle w:val="13"/>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_Toc32120 </w:instrText>
          </w:r>
          <w:r>
            <w:rPr>
              <w:rFonts w:hint="eastAsia" w:asciiTheme="majorEastAsia" w:hAnsiTheme="majorEastAsia" w:eastAsiaTheme="majorEastAsia" w:cstheme="majorEastAsia"/>
              <w:szCs w:val="24"/>
            </w:rPr>
            <w:fldChar w:fldCharType="separate"/>
          </w:r>
          <w:r>
            <w:rPr>
              <w:rFonts w:hint="eastAsia" w:ascii="Times New Roman" w:hAnsi="Times New Roman" w:eastAsia="黑体"/>
              <w:szCs w:val="44"/>
              <w:highlight w:val="none"/>
            </w:rPr>
            <w:t>第四部分</w:t>
          </w:r>
          <w:r>
            <w:rPr>
              <w:rFonts w:hint="eastAsia" w:ascii="Times New Roman" w:hAnsi="Times New Roman" w:eastAsia="黑体"/>
              <w:szCs w:val="44"/>
              <w:highlight w:val="none"/>
              <w:lang w:val="en-US" w:eastAsia="zh-CN"/>
            </w:rPr>
            <w:t xml:space="preserve"> </w:t>
          </w:r>
          <w:r>
            <w:rPr>
              <w:rFonts w:hint="eastAsia" w:ascii="Times New Roman" w:hAnsi="Times New Roman" w:eastAsia="黑体"/>
              <w:szCs w:val="44"/>
              <w:highlight w:val="none"/>
            </w:rPr>
            <w:t xml:space="preserve"> 附件</w:t>
          </w:r>
          <w:r>
            <w:tab/>
          </w:r>
          <w:r>
            <w:fldChar w:fldCharType="begin"/>
          </w:r>
          <w:r>
            <w:instrText xml:space="preserve"> PAGEREF _Toc32120 \h </w:instrText>
          </w:r>
          <w:r>
            <w:fldChar w:fldCharType="separate"/>
          </w:r>
          <w:r>
            <w:t>- 15 -</w:t>
          </w:r>
          <w:r>
            <w:fldChar w:fldCharType="end"/>
          </w:r>
          <w:r>
            <w:rPr>
              <w:rFonts w:hint="eastAsia" w:asciiTheme="majorEastAsia" w:hAnsiTheme="majorEastAsia" w:eastAsiaTheme="majorEastAsia" w:cstheme="majorEastAsia"/>
              <w:szCs w:val="24"/>
            </w:rPr>
            <w:fldChar w:fldCharType="end"/>
          </w:r>
        </w:p>
        <w:p>
          <w:pPr>
            <w:pStyle w:val="13"/>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_Toc32530 </w:instrText>
          </w:r>
          <w:r>
            <w:rPr>
              <w:rFonts w:hint="eastAsia" w:asciiTheme="majorEastAsia" w:hAnsiTheme="majorEastAsia" w:eastAsiaTheme="majorEastAsia" w:cstheme="majorEastAsia"/>
              <w:szCs w:val="24"/>
            </w:rPr>
            <w:fldChar w:fldCharType="separate"/>
          </w:r>
          <w:r>
            <w:rPr>
              <w:rFonts w:hint="eastAsia" w:ascii="Times New Roman" w:hAnsi="Times New Roman" w:eastAsia="黑体"/>
              <w:szCs w:val="44"/>
              <w:highlight w:val="none"/>
            </w:rPr>
            <w:t>第</w:t>
          </w:r>
          <w:r>
            <w:rPr>
              <w:rFonts w:hint="eastAsia" w:ascii="Times New Roman" w:hAnsi="Times New Roman" w:eastAsia="黑体"/>
              <w:bCs/>
              <w:highlight w:val="none"/>
            </w:rPr>
            <w:t>五部分 附表</w:t>
          </w:r>
          <w:r>
            <w:tab/>
          </w:r>
          <w:r>
            <w:fldChar w:fldCharType="begin"/>
          </w:r>
          <w:r>
            <w:instrText xml:space="preserve"> PAGEREF _Toc32530 \h </w:instrText>
          </w:r>
          <w:r>
            <w:fldChar w:fldCharType="separate"/>
          </w:r>
          <w:r>
            <w:t>- 35 -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_Toc26202 </w:instrText>
          </w:r>
          <w:r>
            <w:rPr>
              <w:rFonts w:hint="eastAsia" w:asciiTheme="majorEastAsia" w:hAnsiTheme="majorEastAsia" w:eastAsiaTheme="majorEastAsia" w:cstheme="majorEastAsia"/>
              <w:szCs w:val="24"/>
            </w:rPr>
            <w:fldChar w:fldCharType="separate"/>
          </w:r>
          <w:r>
            <w:rPr>
              <w:rFonts w:hint="eastAsia"/>
              <w:bCs w:val="0"/>
            </w:rPr>
            <w:t>一、收入支出决算总表</w:t>
          </w:r>
          <w:r>
            <w:tab/>
          </w:r>
          <w:r>
            <w:fldChar w:fldCharType="begin"/>
          </w:r>
          <w:r>
            <w:instrText xml:space="preserve"> PAGEREF _Toc26202 \h </w:instrText>
          </w:r>
          <w:r>
            <w:fldChar w:fldCharType="separate"/>
          </w:r>
          <w:r>
            <w:t>- 35 -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_Toc22942 </w:instrText>
          </w:r>
          <w:r>
            <w:rPr>
              <w:rFonts w:hint="eastAsia" w:asciiTheme="majorEastAsia" w:hAnsiTheme="majorEastAsia" w:eastAsiaTheme="majorEastAsia" w:cstheme="majorEastAsia"/>
              <w:szCs w:val="24"/>
            </w:rPr>
            <w:fldChar w:fldCharType="separate"/>
          </w:r>
          <w:r>
            <w:rPr>
              <w:rFonts w:hint="eastAsia"/>
              <w:bCs w:val="0"/>
            </w:rPr>
            <w:t>二、收入决算表</w:t>
          </w:r>
          <w:r>
            <w:tab/>
          </w:r>
          <w:r>
            <w:fldChar w:fldCharType="begin"/>
          </w:r>
          <w:r>
            <w:instrText xml:space="preserve"> PAGEREF _Toc22942 \h </w:instrText>
          </w:r>
          <w:r>
            <w:fldChar w:fldCharType="separate"/>
          </w:r>
          <w:r>
            <w:t>- 35 -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_Toc19816 </w:instrText>
          </w:r>
          <w:r>
            <w:rPr>
              <w:rFonts w:hint="eastAsia" w:asciiTheme="majorEastAsia" w:hAnsiTheme="majorEastAsia" w:eastAsiaTheme="majorEastAsia" w:cstheme="majorEastAsia"/>
              <w:szCs w:val="24"/>
            </w:rPr>
            <w:fldChar w:fldCharType="separate"/>
          </w:r>
          <w:r>
            <w:rPr>
              <w:rFonts w:hint="eastAsia"/>
              <w:bCs w:val="0"/>
            </w:rPr>
            <w:t>三、支出决算表</w:t>
          </w:r>
          <w:r>
            <w:tab/>
          </w:r>
          <w:r>
            <w:fldChar w:fldCharType="begin"/>
          </w:r>
          <w:r>
            <w:instrText xml:space="preserve"> PAGEREF _Toc19816 \h </w:instrText>
          </w:r>
          <w:r>
            <w:fldChar w:fldCharType="separate"/>
          </w:r>
          <w:r>
            <w:t>- 35 -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_Toc28276 </w:instrText>
          </w:r>
          <w:r>
            <w:rPr>
              <w:rFonts w:hint="eastAsia" w:asciiTheme="majorEastAsia" w:hAnsiTheme="majorEastAsia" w:eastAsiaTheme="majorEastAsia" w:cstheme="majorEastAsia"/>
              <w:szCs w:val="24"/>
            </w:rPr>
            <w:fldChar w:fldCharType="separate"/>
          </w:r>
          <w:r>
            <w:rPr>
              <w:rFonts w:hint="eastAsia"/>
              <w:bCs w:val="0"/>
            </w:rPr>
            <w:t>四、财政拨款收入支出决算总表</w:t>
          </w:r>
          <w:r>
            <w:tab/>
          </w:r>
          <w:r>
            <w:fldChar w:fldCharType="begin"/>
          </w:r>
          <w:r>
            <w:instrText xml:space="preserve"> PAGEREF _Toc28276 \h </w:instrText>
          </w:r>
          <w:r>
            <w:fldChar w:fldCharType="separate"/>
          </w:r>
          <w:r>
            <w:t>- 35 -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_Toc9861 </w:instrText>
          </w:r>
          <w:r>
            <w:rPr>
              <w:rFonts w:hint="eastAsia" w:asciiTheme="majorEastAsia" w:hAnsiTheme="majorEastAsia" w:eastAsiaTheme="majorEastAsia" w:cstheme="majorEastAsia"/>
              <w:szCs w:val="24"/>
            </w:rPr>
            <w:fldChar w:fldCharType="separate"/>
          </w:r>
          <w:r>
            <w:rPr>
              <w:rFonts w:hint="eastAsia"/>
              <w:bCs w:val="0"/>
            </w:rPr>
            <w:t>五、财政拨款支出决算明细表</w:t>
          </w:r>
          <w:r>
            <w:tab/>
          </w:r>
          <w:r>
            <w:fldChar w:fldCharType="begin"/>
          </w:r>
          <w:r>
            <w:instrText xml:space="preserve"> PAGEREF _Toc9861 \h </w:instrText>
          </w:r>
          <w:r>
            <w:fldChar w:fldCharType="separate"/>
          </w:r>
          <w:r>
            <w:t>- 35 -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_Toc15205 </w:instrText>
          </w:r>
          <w:r>
            <w:rPr>
              <w:rFonts w:hint="eastAsia" w:asciiTheme="majorEastAsia" w:hAnsiTheme="majorEastAsia" w:eastAsiaTheme="majorEastAsia" w:cstheme="majorEastAsia"/>
              <w:szCs w:val="24"/>
            </w:rPr>
            <w:fldChar w:fldCharType="separate"/>
          </w:r>
          <w:r>
            <w:rPr>
              <w:rFonts w:hint="eastAsia"/>
              <w:bCs w:val="0"/>
            </w:rPr>
            <w:t>六、一般公共预算财政拨款支出决算表</w:t>
          </w:r>
          <w:r>
            <w:tab/>
          </w:r>
          <w:r>
            <w:fldChar w:fldCharType="begin"/>
          </w:r>
          <w:r>
            <w:instrText xml:space="preserve"> PAGEREF _Toc15205 \h </w:instrText>
          </w:r>
          <w:r>
            <w:fldChar w:fldCharType="separate"/>
          </w:r>
          <w:r>
            <w:t>- 35 -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_Toc22904 </w:instrText>
          </w:r>
          <w:r>
            <w:rPr>
              <w:rFonts w:hint="eastAsia" w:asciiTheme="majorEastAsia" w:hAnsiTheme="majorEastAsia" w:eastAsiaTheme="majorEastAsia" w:cstheme="majorEastAsia"/>
              <w:szCs w:val="24"/>
            </w:rPr>
            <w:fldChar w:fldCharType="separate"/>
          </w:r>
          <w:r>
            <w:rPr>
              <w:rFonts w:hint="eastAsia"/>
              <w:bCs w:val="0"/>
            </w:rPr>
            <w:t>七、一般公共预算财政拨款支出决算明细表</w:t>
          </w:r>
          <w:r>
            <w:tab/>
          </w:r>
          <w:r>
            <w:fldChar w:fldCharType="begin"/>
          </w:r>
          <w:r>
            <w:instrText xml:space="preserve"> PAGEREF _Toc22904 \h </w:instrText>
          </w:r>
          <w:r>
            <w:fldChar w:fldCharType="separate"/>
          </w:r>
          <w:r>
            <w:t>- 35 -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_Toc27990 </w:instrText>
          </w:r>
          <w:r>
            <w:rPr>
              <w:rFonts w:hint="eastAsia" w:asciiTheme="majorEastAsia" w:hAnsiTheme="majorEastAsia" w:eastAsiaTheme="majorEastAsia" w:cstheme="majorEastAsia"/>
              <w:szCs w:val="24"/>
            </w:rPr>
            <w:fldChar w:fldCharType="separate"/>
          </w:r>
          <w:r>
            <w:rPr>
              <w:rFonts w:hint="eastAsia"/>
              <w:bCs w:val="0"/>
            </w:rPr>
            <w:t>八、一般公共预算财政拨款基本支出决算表</w:t>
          </w:r>
          <w:r>
            <w:tab/>
          </w:r>
          <w:r>
            <w:fldChar w:fldCharType="begin"/>
          </w:r>
          <w:r>
            <w:instrText xml:space="preserve"> PAGEREF _Toc27990 \h </w:instrText>
          </w:r>
          <w:r>
            <w:fldChar w:fldCharType="separate"/>
          </w:r>
          <w:r>
            <w:t>- 35 -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_Toc6892 </w:instrText>
          </w:r>
          <w:r>
            <w:rPr>
              <w:rFonts w:hint="eastAsia" w:asciiTheme="majorEastAsia" w:hAnsiTheme="majorEastAsia" w:eastAsiaTheme="majorEastAsia" w:cstheme="majorEastAsia"/>
              <w:szCs w:val="24"/>
            </w:rPr>
            <w:fldChar w:fldCharType="separate"/>
          </w:r>
          <w:r>
            <w:rPr>
              <w:rFonts w:hint="eastAsia"/>
              <w:bCs w:val="0"/>
            </w:rPr>
            <w:t>九、一般公共预算财政拨款项目支出决算表</w:t>
          </w:r>
          <w:r>
            <w:tab/>
          </w:r>
          <w:r>
            <w:fldChar w:fldCharType="begin"/>
          </w:r>
          <w:r>
            <w:instrText xml:space="preserve"> PAGEREF _Toc6892 \h </w:instrText>
          </w:r>
          <w:r>
            <w:fldChar w:fldCharType="separate"/>
          </w:r>
          <w:r>
            <w:t>- 35 -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_Toc31824 </w:instrText>
          </w:r>
          <w:r>
            <w:rPr>
              <w:rFonts w:hint="eastAsia" w:asciiTheme="majorEastAsia" w:hAnsiTheme="majorEastAsia" w:eastAsiaTheme="majorEastAsia" w:cstheme="majorEastAsia"/>
              <w:szCs w:val="24"/>
            </w:rPr>
            <w:fldChar w:fldCharType="separate"/>
          </w:r>
          <w:r>
            <w:rPr>
              <w:rFonts w:hint="eastAsia"/>
              <w:bCs w:val="0"/>
            </w:rPr>
            <w:t>十、政府性基金预算财政拨款收入支出决算表</w:t>
          </w:r>
          <w:r>
            <w:tab/>
          </w:r>
          <w:r>
            <w:fldChar w:fldCharType="begin"/>
          </w:r>
          <w:r>
            <w:instrText xml:space="preserve"> PAGEREF _Toc31824 \h </w:instrText>
          </w:r>
          <w:r>
            <w:fldChar w:fldCharType="separate"/>
          </w:r>
          <w:r>
            <w:t>- 35 -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_Toc26781 </w:instrText>
          </w:r>
          <w:r>
            <w:rPr>
              <w:rFonts w:hint="eastAsia" w:asciiTheme="majorEastAsia" w:hAnsiTheme="majorEastAsia" w:eastAsiaTheme="majorEastAsia" w:cstheme="majorEastAsia"/>
              <w:szCs w:val="24"/>
            </w:rPr>
            <w:fldChar w:fldCharType="separate"/>
          </w:r>
          <w:r>
            <w:rPr>
              <w:rFonts w:hint="eastAsia"/>
              <w:bCs w:val="0"/>
            </w:rPr>
            <w:t>十一、国有资本经营预算</w:t>
          </w:r>
          <w:r>
            <w:rPr>
              <w:rFonts w:hint="eastAsia"/>
              <w:bCs w:val="0"/>
              <w:lang w:eastAsia="zh-CN"/>
            </w:rPr>
            <w:t>财政拨款收入</w:t>
          </w:r>
          <w:r>
            <w:rPr>
              <w:rFonts w:hint="eastAsia"/>
              <w:bCs w:val="0"/>
            </w:rPr>
            <w:t>支出决算表</w:t>
          </w:r>
          <w:r>
            <w:tab/>
          </w:r>
          <w:r>
            <w:fldChar w:fldCharType="begin"/>
          </w:r>
          <w:r>
            <w:instrText xml:space="preserve"> PAGEREF _Toc26781 \h </w:instrText>
          </w:r>
          <w:r>
            <w:fldChar w:fldCharType="separate"/>
          </w:r>
          <w:r>
            <w:t>- 35 -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_Toc17783 </w:instrText>
          </w:r>
          <w:r>
            <w:rPr>
              <w:rFonts w:hint="eastAsia" w:asciiTheme="majorEastAsia" w:hAnsiTheme="majorEastAsia" w:eastAsiaTheme="majorEastAsia" w:cstheme="majorEastAsia"/>
              <w:szCs w:val="24"/>
            </w:rPr>
            <w:fldChar w:fldCharType="separate"/>
          </w:r>
          <w:r>
            <w:rPr>
              <w:rFonts w:hint="eastAsia"/>
              <w:bCs w:val="0"/>
            </w:rPr>
            <w:t>十二、</w:t>
          </w:r>
          <w:r>
            <w:rPr>
              <w:rFonts w:hint="eastAsia"/>
              <w:bCs w:val="0"/>
              <w:lang w:eastAsia="zh-CN"/>
            </w:rPr>
            <w:t>国有资本经营预算财政拨款支出决算表</w:t>
          </w:r>
          <w:r>
            <w:tab/>
          </w:r>
          <w:r>
            <w:fldChar w:fldCharType="begin"/>
          </w:r>
          <w:r>
            <w:instrText xml:space="preserve"> PAGEREF _Toc17783 \h </w:instrText>
          </w:r>
          <w:r>
            <w:fldChar w:fldCharType="separate"/>
          </w:r>
          <w:r>
            <w:t>- 35 -</w:t>
          </w:r>
          <w:r>
            <w:fldChar w:fldCharType="end"/>
          </w:r>
          <w:r>
            <w:rPr>
              <w:rFonts w:hint="eastAsia" w:asciiTheme="majorEastAsia" w:hAnsiTheme="majorEastAsia" w:eastAsiaTheme="majorEastAsia" w:cstheme="majorEastAsia"/>
              <w:szCs w:val="24"/>
            </w:rPr>
            <w:fldChar w:fldCharType="end"/>
          </w:r>
        </w:p>
        <w:p>
          <w:pPr>
            <w:pStyle w:val="15"/>
            <w:tabs>
              <w:tab w:val="right" w:leader="dot" w:pos="8306"/>
              <w:tab w:val="clear" w:pos="8296"/>
            </w:tabs>
          </w:pPr>
          <w:r>
            <w:rPr>
              <w:rFonts w:hint="eastAsia" w:asciiTheme="majorEastAsia" w:hAnsiTheme="majorEastAsia" w:eastAsiaTheme="majorEastAsia" w:cstheme="majorEastAsia"/>
              <w:szCs w:val="24"/>
            </w:rPr>
            <w:fldChar w:fldCharType="begin"/>
          </w:r>
          <w:r>
            <w:rPr>
              <w:rFonts w:hint="eastAsia" w:asciiTheme="majorEastAsia" w:hAnsiTheme="majorEastAsia" w:eastAsiaTheme="majorEastAsia" w:cstheme="majorEastAsia"/>
              <w:szCs w:val="24"/>
            </w:rPr>
            <w:instrText xml:space="preserve"> HYPERLINK \l _Toc4124 </w:instrText>
          </w:r>
          <w:r>
            <w:rPr>
              <w:rFonts w:hint="eastAsia" w:asciiTheme="majorEastAsia" w:hAnsiTheme="majorEastAsia" w:eastAsiaTheme="majorEastAsia" w:cstheme="majorEastAsia"/>
              <w:szCs w:val="24"/>
            </w:rPr>
            <w:fldChar w:fldCharType="separate"/>
          </w:r>
          <w:r>
            <w:rPr>
              <w:rFonts w:hint="eastAsia"/>
              <w:bCs w:val="0"/>
            </w:rPr>
            <w:t>十三、</w:t>
          </w:r>
          <w:r>
            <w:rPr>
              <w:rFonts w:hint="eastAsia"/>
              <w:bCs w:val="0"/>
              <w:lang w:eastAsia="zh-CN"/>
            </w:rPr>
            <w:t>财政拨款“三公”经费支出决算表</w:t>
          </w:r>
          <w:r>
            <w:tab/>
          </w:r>
          <w:r>
            <w:fldChar w:fldCharType="begin"/>
          </w:r>
          <w:r>
            <w:instrText xml:space="preserve"> PAGEREF _Toc4124 \h </w:instrText>
          </w:r>
          <w:r>
            <w:fldChar w:fldCharType="separate"/>
          </w:r>
          <w:r>
            <w:t>- 35 -</w:t>
          </w:r>
          <w:r>
            <w:fldChar w:fldCharType="end"/>
          </w:r>
          <w:r>
            <w:rPr>
              <w:rFonts w:hint="eastAsia" w:asciiTheme="majorEastAsia" w:hAnsiTheme="majorEastAsia" w:eastAsiaTheme="majorEastAsia" w:cstheme="majorEastAsia"/>
              <w:szCs w:val="24"/>
            </w:rPr>
            <w:fldChar w:fldCharType="end"/>
          </w:r>
        </w:p>
        <w:p>
          <w:pPr>
            <w:pStyle w:val="41"/>
            <w:tabs>
              <w:tab w:val="right" w:leader="dot" w:pos="8306"/>
            </w:tabs>
            <w:rPr>
              <w:rFonts w:hint="eastAsia" w:asciiTheme="majorEastAsia" w:hAnsiTheme="majorEastAsia" w:eastAsiaTheme="majorEastAsia" w:cstheme="majorEastAsia"/>
              <w:sz w:val="20"/>
              <w:szCs w:val="24"/>
            </w:rPr>
          </w:pPr>
          <w:r>
            <w:rPr>
              <w:rFonts w:hint="eastAsia" w:asciiTheme="majorEastAsia" w:hAnsiTheme="majorEastAsia" w:eastAsiaTheme="majorEastAsia" w:cstheme="majorEastAsia"/>
              <w:szCs w:val="24"/>
            </w:rPr>
            <w:fldChar w:fldCharType="end"/>
          </w:r>
        </w:p>
      </w:sdtContent>
    </w:sdt>
    <w:p>
      <w:pPr>
        <w:pStyle w:val="41"/>
        <w:tabs>
          <w:tab w:val="right" w:leader="dot" w:pos="8306"/>
        </w:tabs>
        <w:rPr>
          <w:rFonts w:hint="eastAsia" w:asciiTheme="majorEastAsia" w:hAnsiTheme="majorEastAsia" w:eastAsiaTheme="majorEastAsia" w:cstheme="majorEastAsia"/>
          <w:sz w:val="20"/>
          <w:szCs w:val="24"/>
        </w:rPr>
      </w:pPr>
    </w:p>
    <w:p>
      <w:pPr>
        <w:pStyle w:val="3"/>
        <w:jc w:val="both"/>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bookmarkStart w:id="6" w:name="_Toc15377196"/>
      <w:bookmarkStart w:id="7" w:name="_Toc15396599"/>
    </w:p>
    <w:p>
      <w:pPr>
        <w:pStyle w:val="3"/>
        <w:jc w:val="center"/>
        <w:rPr>
          <w:rStyle w:val="21"/>
          <w:rFonts w:hint="eastAsia" w:ascii="Times New Roman" w:hAnsi="Times New Roman" w:eastAsia="方正小标宋简体" w:cs="方正小标宋简体"/>
          <w:b/>
          <w:bCs w:val="0"/>
          <w:color w:val="auto"/>
          <w:highlight w:val="none"/>
        </w:rPr>
      </w:pPr>
      <w:bookmarkStart w:id="8" w:name="_Toc28762"/>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eastAsia="zh-CN"/>
        </w:rPr>
        <w:t>单位</w:t>
      </w:r>
      <w:r>
        <w:rPr>
          <w:rStyle w:val="21"/>
          <w:rFonts w:hint="eastAsia" w:ascii="Times New Roman" w:hAnsi="Times New Roman" w:eastAsia="方正小标宋简体" w:cs="方正小标宋简体"/>
          <w:b w:val="0"/>
          <w:bCs w:val="0"/>
          <w:color w:val="auto"/>
          <w:highlight w:val="none"/>
        </w:rPr>
        <w:t>概况</w:t>
      </w:r>
      <w:bookmarkEnd w:id="6"/>
      <w:bookmarkEnd w:id="7"/>
      <w:bookmarkEnd w:id="8"/>
    </w:p>
    <w:p>
      <w:pPr>
        <w:widowControl/>
        <w:jc w:val="left"/>
        <w:rPr>
          <w:rFonts w:ascii="Times New Roman" w:hAnsi="Times New Roman" w:eastAsia="黑体"/>
          <w:color w:val="auto"/>
          <w:sz w:val="32"/>
          <w:szCs w:val="32"/>
          <w:highlight w:val="none"/>
        </w:rPr>
      </w:pPr>
    </w:p>
    <w:p>
      <w:pPr>
        <w:pStyle w:val="4"/>
        <w:numPr>
          <w:ilvl w:val="0"/>
          <w:numId w:val="1"/>
        </w:numPr>
        <w:rPr>
          <w:rFonts w:hint="eastAsia" w:ascii="Times New Roman" w:hAnsi="Times New Roman" w:eastAsia="黑体"/>
          <w:b w:val="0"/>
          <w:color w:val="auto"/>
          <w:highlight w:val="none"/>
          <w:lang w:eastAsia="zh-CN"/>
        </w:rPr>
      </w:pPr>
      <w:bookmarkStart w:id="9" w:name="_Toc8648"/>
      <w:r>
        <w:rPr>
          <w:rFonts w:hint="eastAsia" w:ascii="Times New Roman" w:hAnsi="Times New Roman" w:eastAsia="黑体"/>
          <w:b w:val="0"/>
          <w:color w:val="auto"/>
          <w:highlight w:val="none"/>
          <w:lang w:eastAsia="zh-CN"/>
        </w:rPr>
        <w:t>主要职责</w:t>
      </w:r>
      <w:bookmarkEnd w:id="9"/>
    </w:p>
    <w:p>
      <w:pPr>
        <w:spacing w:line="576" w:lineRule="exact"/>
        <w:ind w:firstLine="420" w:firstLineChars="200"/>
        <w:rPr>
          <w:rFonts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sz w:val="32"/>
          <w:szCs w:val="32"/>
        </w:rPr>
        <w:t>（1）贯彻落实有关政务服务和公共资源交易工作的方针政策和决策部署，参与拟订全市政务服务、公共资源交易规则和相关政策。</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（2）为市政务服务和公共资源交易活动提供场所、设施、信息和现场管理服务，承担市级政务服务和公共资源交易服务平台建设和管理。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（3）落实政务服务事项“应尽必进”，跟踪督促政务服务事项办理情况，负责入驻单位窗口工作人员的日常管理。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推进窗口服务事项清理、办事材料精简、服务流程优化、办事指南规范更新，统筹协调窗口为企业和群众开展全程代办、协办和上门服务、延时服务、预约服务，推动落实“一网办”“一门办”“一次办”。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（5）统筹落实市本级惠企政策“一站式”兑现、工程建设项目联合审批等企业增值化服务，推进政务服务行政审批中介服务规范管理。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（6）负责12345政务服务热线的运行和日常管理。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（7）负责一体化政务服务平台、公共资源交易电子化平台、12345热线服务平台、惠企政策精准推送系统、工程建设项目联合审批管理系统等自建或使用的业务系统的运维管理。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（8）承担全市工程建设招投标现场服务和管理工作，代理政府集中采购项目招标采购，提供国有产权、土地（矿权）出让等交易服务。</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（9）制定并组织实施市本级集中采购项目实施方案，配合做好市本级《中华人民共和国政府采购法》执行情况检查工作。</w:t>
      </w:r>
    </w:p>
    <w:p>
      <w:pPr>
        <w:spacing w:line="576" w:lineRule="exact"/>
        <w:ind w:firstLine="640" w:firstLineChars="200"/>
        <w:rPr>
          <w:rFonts w:hint="eastAsia" w:ascii="楷体_GB2312" w:hAnsi="楷体_GB2312" w:eastAsia="楷体_GB2312" w:cs="楷体_GB2312"/>
          <w:color w:val="FF0000"/>
          <w:sz w:val="32"/>
          <w:szCs w:val="32"/>
        </w:rPr>
      </w:pPr>
      <w:r>
        <w:rPr>
          <w:rFonts w:hint="eastAsia" w:ascii="仿宋_GB2312" w:hAnsi="仿宋_GB2312" w:eastAsia="仿宋_GB2312" w:cs="仿宋_GB2312"/>
          <w:sz w:val="32"/>
          <w:szCs w:val="32"/>
        </w:rPr>
        <w:t>（10）完成市政务服务和数据局交办的其他工作。</w:t>
      </w:r>
    </w:p>
    <w:p>
      <w:pPr>
        <w:numPr>
          <w:ilvl w:val="0"/>
          <w:numId w:val="0"/>
        </w:numPr>
        <w:rPr>
          <w:rFonts w:hint="default"/>
          <w:lang w:val="en-US" w:eastAsia="zh-CN"/>
        </w:rPr>
      </w:pPr>
    </w:p>
    <w:p>
      <w:pPr>
        <w:pStyle w:val="4"/>
        <w:rPr>
          <w:rStyle w:val="22"/>
          <w:rFonts w:ascii="Times New Roman" w:hAnsi="Times New Roman"/>
          <w:b w:val="0"/>
          <w:bCs w:val="0"/>
          <w:color w:val="auto"/>
          <w:highlight w:val="none"/>
        </w:rPr>
      </w:pPr>
      <w:bookmarkStart w:id="10" w:name="_Toc15396601"/>
      <w:bookmarkStart w:id="11" w:name="_Toc20585"/>
      <w:bookmarkStart w:id="12" w:name="_Toc15377200"/>
      <w:r>
        <w:rPr>
          <w:rFonts w:hint="eastAsia" w:ascii="Times New Roman" w:hAnsi="Times New Roman" w:eastAsia="黑体"/>
          <w:b w:val="0"/>
          <w:color w:val="auto"/>
          <w:highlight w:val="none"/>
        </w:rPr>
        <w:t>二、机</w:t>
      </w:r>
      <w:r>
        <w:rPr>
          <w:rStyle w:val="22"/>
          <w:rFonts w:hint="eastAsia" w:ascii="Times New Roman" w:hAnsi="Times New Roman" w:eastAsia="黑体"/>
          <w:b w:val="0"/>
          <w:bCs w:val="0"/>
          <w:color w:val="auto"/>
          <w:highlight w:val="none"/>
        </w:rPr>
        <w:t>构设置</w:t>
      </w:r>
      <w:bookmarkEnd w:id="10"/>
      <w:bookmarkEnd w:id="11"/>
      <w:bookmarkEnd w:id="12"/>
    </w:p>
    <w:p>
      <w:pPr>
        <w:ind w:firstLine="800" w:firstLineChars="250"/>
        <w:rPr>
          <w:rFonts w:hint="default" w:ascii="Times New Roman" w:hAnsi="Times New Roman"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我单位为</w:t>
      </w:r>
      <w:r>
        <w:rPr>
          <w:rFonts w:hint="eastAsia" w:ascii="仿宋_GB2312" w:hAnsi="仿宋_GB2312" w:eastAsia="仿宋_GB2312" w:cs="仿宋_GB2312"/>
          <w:color w:val="auto"/>
          <w:sz w:val="32"/>
          <w:szCs w:val="32"/>
          <w:highlight w:val="none"/>
        </w:rPr>
        <w:t>广元市政务服务和数据局</w:t>
      </w:r>
      <w:r>
        <w:rPr>
          <w:rFonts w:hint="eastAsia" w:ascii="仿宋_GB2312" w:hAnsi="仿宋_GB2312" w:eastAsia="仿宋_GB2312" w:cs="仿宋_GB2312"/>
          <w:color w:val="auto"/>
          <w:sz w:val="32"/>
          <w:szCs w:val="32"/>
          <w:highlight w:val="none"/>
          <w:lang w:eastAsia="zh-CN"/>
        </w:rPr>
        <w:t>部门</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eastAsia="zh-CN"/>
        </w:rPr>
        <w:t>，根据单位职责分工，单位内设机构</w:t>
      </w:r>
      <w:r>
        <w:rPr>
          <w:rFonts w:hint="eastAsia" w:ascii="仿宋_GB2312" w:hAnsi="仿宋_GB2312" w:eastAsia="仿宋_GB2312" w:cs="仿宋_GB2312"/>
          <w:color w:val="auto"/>
          <w:sz w:val="32"/>
          <w:szCs w:val="32"/>
          <w:highlight w:val="none"/>
          <w:lang w:val="en-US" w:eastAsia="zh-CN"/>
        </w:rPr>
        <w:t>9</w:t>
      </w:r>
      <w:r>
        <w:rPr>
          <w:rFonts w:hint="eastAsia" w:eastAsia="仿宋_GB2312" w:cs="仿宋_GB2312"/>
          <w:color w:val="auto"/>
          <w:sz w:val="32"/>
          <w:szCs w:val="32"/>
          <w:highlight w:val="none"/>
          <w:lang w:val="en-US" w:eastAsia="zh-CN"/>
        </w:rPr>
        <w:t>个，</w:t>
      </w:r>
      <w:r>
        <w:rPr>
          <w:rFonts w:hint="eastAsia" w:eastAsia="仿宋_GB2312" w:cs="仿宋_GB2312"/>
          <w:color w:val="auto"/>
          <w:sz w:val="32"/>
          <w:szCs w:val="32"/>
          <w:highlight w:val="none"/>
          <w:lang w:eastAsia="zh-CN"/>
        </w:rPr>
        <w:t>包括</w:t>
      </w:r>
      <w:r>
        <w:rPr>
          <w:rFonts w:hint="eastAsia" w:ascii="仿宋_GB2312" w:hAnsi="仿宋" w:eastAsia="仿宋_GB2312"/>
          <w:sz w:val="32"/>
          <w:szCs w:val="32"/>
        </w:rPr>
        <w:t>综合科（保证金管理科）、窗口服务协调科、政府采购科、综合交易科、工程招投标科、增值化服务科（工程建设项目联合审批中心）、信息技术科、热线受理科、热线督办科。</w:t>
      </w:r>
      <w:r>
        <w:rPr>
          <w:rFonts w:hint="eastAsia" w:ascii="仿宋_GB2312" w:hAnsi="仿宋_GB2312" w:eastAsia="仿宋_GB2312" w:cs="仿宋_GB2312"/>
          <w:bCs/>
          <w:sz w:val="32"/>
          <w:szCs w:val="32"/>
          <w:lang w:eastAsia="zh-CN"/>
        </w:rPr>
        <w:t>本单位无下属机构。</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3" w:name="_Toc15377204"/>
      <w:bookmarkStart w:id="14" w:name="_Toc10491"/>
      <w:bookmarkStart w:id="15"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3"/>
      <w:bookmarkEnd w:id="14"/>
      <w:bookmarkEnd w:id="15"/>
    </w:p>
    <w:p>
      <w:pPr>
        <w:rPr>
          <w:rFonts w:ascii="Times New Roman" w:hAnsi="Times New Roman"/>
          <w:color w:val="auto"/>
          <w:highlight w:val="none"/>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2"/>
          <w:rFonts w:hint="eastAsia" w:ascii="Times New Roman" w:hAnsi="Times New Roman" w:eastAsia="黑体"/>
          <w:b w:val="0"/>
          <w:color w:val="auto"/>
          <w:highlight w:val="none"/>
        </w:rPr>
      </w:pPr>
      <w:bookmarkStart w:id="16" w:name="_Toc10842"/>
      <w:bookmarkStart w:id="17" w:name="_Toc15396603"/>
      <w:bookmarkStart w:id="18"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2"/>
          <w:rFonts w:hint="eastAsia" w:ascii="Times New Roman" w:hAnsi="Times New Roman" w:eastAsia="黑体"/>
          <w:b w:val="0"/>
          <w:color w:val="auto"/>
          <w:highlight w:val="none"/>
        </w:rPr>
        <w:t>入支出决算总体情况说明</w:t>
      </w:r>
      <w:bookmarkEnd w:id="16"/>
      <w:bookmarkEnd w:id="17"/>
      <w:bookmarkEnd w:id="18"/>
    </w:p>
    <w:p>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19" w:name="_Toc7082"/>
      <w:r>
        <w:rPr>
          <w:rFonts w:hint="eastAsia" w:ascii="仿宋_GB2312" w:hAnsi="仿宋_GB2312" w:eastAsia="仿宋_GB2312" w:cs="仿宋_GB2312"/>
          <w:color w:val="auto"/>
          <w:sz w:val="32"/>
          <w:szCs w:val="32"/>
          <w:highlight w:val="none"/>
          <w:lang w:eastAsia="zh-CN"/>
        </w:rPr>
        <w:t>2024</w:t>
      </w:r>
      <w:r>
        <w:rPr>
          <w:rFonts w:hint="eastAsia" w:ascii="Times New Roman" w:hAnsi="Times New Roman" w:eastAsia="仿宋_GB2312" w:cs="仿宋_GB2312"/>
          <w:color w:val="auto"/>
          <w:sz w:val="32"/>
          <w:szCs w:val="32"/>
          <w:highlight w:val="none"/>
          <w:lang w:eastAsia="zh-CN"/>
        </w:rPr>
        <w:t>年度收入、支出总计均为</w:t>
      </w:r>
      <w:r>
        <w:rPr>
          <w:rFonts w:hint="eastAsia" w:ascii="仿宋_GB2312" w:hAnsi="仿宋_GB2312" w:eastAsia="仿宋_GB2312" w:cs="仿宋_GB2312"/>
          <w:color w:val="auto"/>
          <w:sz w:val="32"/>
          <w:szCs w:val="32"/>
          <w:highlight w:val="none"/>
          <w:lang w:val="en-US" w:eastAsia="zh-CN"/>
        </w:rPr>
        <w:t>493.22</w:t>
      </w:r>
      <w:r>
        <w:rPr>
          <w:rFonts w:hint="eastAsia" w:ascii="仿宋_GB2312" w:hAnsi="仿宋_GB2312" w:eastAsia="仿宋_GB2312" w:cs="仿宋_GB2312"/>
          <w:color w:val="auto"/>
          <w:sz w:val="32"/>
          <w:szCs w:val="32"/>
          <w:highlight w:val="none"/>
          <w:lang w:eastAsia="zh-CN"/>
        </w:rPr>
        <w:t>万元。与202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年度相比，收入、支出总计各增加</w:t>
      </w:r>
      <w:r>
        <w:rPr>
          <w:rFonts w:hint="eastAsia" w:ascii="仿宋_GB2312" w:hAnsi="仿宋_GB2312" w:eastAsia="仿宋_GB2312" w:cs="仿宋_GB2312"/>
          <w:color w:val="auto"/>
          <w:sz w:val="32"/>
          <w:szCs w:val="32"/>
          <w:highlight w:val="none"/>
          <w:lang w:val="en-US" w:eastAsia="zh-CN"/>
        </w:rPr>
        <w:t>12.14</w:t>
      </w:r>
      <w:r>
        <w:rPr>
          <w:rFonts w:hint="eastAsia" w:ascii="仿宋_GB2312" w:hAnsi="仿宋_GB2312" w:eastAsia="仿宋_GB2312" w:cs="仿宋_GB2312"/>
          <w:color w:val="auto"/>
          <w:sz w:val="32"/>
          <w:szCs w:val="32"/>
          <w:highlight w:val="none"/>
          <w:lang w:eastAsia="zh-CN"/>
        </w:rPr>
        <w:t>万元，增长</w:t>
      </w:r>
      <w:r>
        <w:rPr>
          <w:rFonts w:hint="eastAsia" w:ascii="仿宋_GB2312" w:hAnsi="仿宋_GB2312" w:eastAsia="仿宋_GB2312" w:cs="仿宋_GB2312"/>
          <w:color w:val="auto"/>
          <w:sz w:val="32"/>
          <w:szCs w:val="32"/>
          <w:highlight w:val="none"/>
          <w:lang w:val="en-US" w:eastAsia="zh-CN"/>
        </w:rPr>
        <w:t>2.52</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2024</w:t>
      </w:r>
      <w:r>
        <w:rPr>
          <w:rFonts w:hint="eastAsia" w:eastAsia="仿宋_GB2312" w:cs="仿宋_GB2312"/>
          <w:color w:val="auto"/>
          <w:sz w:val="32"/>
          <w:szCs w:val="32"/>
          <w:highlight w:val="none"/>
          <w:lang w:val="en-US" w:eastAsia="zh-CN"/>
        </w:rPr>
        <w:t>年度</w:t>
      </w:r>
      <w:r>
        <w:rPr>
          <w:rFonts w:hint="eastAsia" w:ascii="仿宋_GB2312" w:hAnsi="仿宋" w:eastAsia="仿宋_GB2312"/>
          <w:sz w:val="32"/>
          <w:szCs w:val="32"/>
        </w:rPr>
        <w:t>项目经费支出</w:t>
      </w:r>
      <w:r>
        <w:rPr>
          <w:rFonts w:hint="eastAsia" w:ascii="仿宋_GB2312" w:hAnsi="仿宋" w:eastAsia="仿宋_GB2312"/>
          <w:sz w:val="32"/>
          <w:szCs w:val="32"/>
          <w:lang w:eastAsia="zh-CN"/>
        </w:rPr>
        <w:t>略有</w:t>
      </w:r>
      <w:r>
        <w:rPr>
          <w:rFonts w:hint="eastAsia" w:ascii="仿宋_GB2312" w:hAnsi="仿宋" w:eastAsia="仿宋_GB2312"/>
          <w:sz w:val="32"/>
          <w:szCs w:val="32"/>
        </w:rPr>
        <w:t>增加</w:t>
      </w:r>
      <w:r>
        <w:rPr>
          <w:rFonts w:hint="eastAsia" w:ascii="仿宋_GB2312" w:hAnsi="仿宋" w:eastAsia="仿宋_GB2312"/>
          <w:sz w:val="32"/>
          <w:szCs w:val="32"/>
          <w:lang w:eastAsia="zh-CN"/>
        </w:rPr>
        <w:t>。</w:t>
      </w:r>
      <w:bookmarkEnd w:id="19"/>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24"/>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728845" cy="3573780"/>
            <wp:effectExtent l="4445" t="4445" r="10160" b="222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4"/>
        <w:rPr>
          <w:rFonts w:hint="eastAsia"/>
          <w:lang w:eastAsia="zh-CN"/>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bookmarkStart w:id="22" w:name="_Toc25441"/>
      <w:r>
        <w:rPr>
          <w:rFonts w:hint="eastAsia" w:ascii="Times New Roman" w:hAnsi="Times New Roman" w:eastAsia="黑体"/>
          <w:color w:val="auto"/>
          <w:sz w:val="32"/>
          <w:szCs w:val="32"/>
          <w:highlight w:val="none"/>
          <w:lang w:eastAsia="zh-CN"/>
        </w:rPr>
        <w:t>二、收入决算情况说明</w:t>
      </w:r>
      <w:bookmarkEnd w:id="20"/>
      <w:bookmarkEnd w:id="21"/>
      <w:bookmarkEnd w:id="22"/>
    </w:p>
    <w:p>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23" w:name="_Toc1402"/>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lang w:val="en-US" w:eastAsia="zh-CN"/>
        </w:rPr>
        <w:t>489.61</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489.61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bookmarkEnd w:id="23"/>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pStyle w:val="24"/>
        <w:rPr>
          <w:rFonts w:hint="eastAsia"/>
          <w:lang w:eastAsia="zh-CN"/>
        </w:rPr>
      </w:pPr>
    </w:p>
    <w:p>
      <w:pPr>
        <w:pStyle w:val="24"/>
        <w:rPr>
          <w:rFonts w:hint="eastAsia"/>
          <w:lang w:eastAsia="zh-CN"/>
        </w:rPr>
      </w:pPr>
      <w:r>
        <w:rPr>
          <w:rFonts w:hint="eastAsia"/>
          <w:lang w:eastAsia="zh-CN"/>
        </w:rPr>
        <w:drawing>
          <wp:inline distT="0" distB="0" distL="114300" distR="114300">
            <wp:extent cx="4813935" cy="3514725"/>
            <wp:effectExtent l="4445" t="4445" r="20320"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4"/>
        <w:ind w:left="0" w:leftChars="0" w:firstLine="0" w:firstLineChars="0"/>
        <w:rPr>
          <w:rFonts w:hint="eastAsia"/>
          <w:lang w:eastAsia="zh-CN"/>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2"/>
          <w:rFonts w:hint="eastAsia" w:ascii="Times New Roman" w:hAnsi="Times New Roman" w:eastAsia="黑体"/>
          <w:b w:val="0"/>
          <w:color w:val="auto"/>
          <w:highlight w:val="none"/>
        </w:rPr>
      </w:pPr>
      <w:bookmarkStart w:id="24" w:name="_Toc15377207"/>
      <w:bookmarkStart w:id="25" w:name="_Toc15396605"/>
      <w:bookmarkStart w:id="26" w:name="_Toc38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2"/>
          <w:rFonts w:hint="eastAsia" w:ascii="Times New Roman" w:hAnsi="Times New Roman" w:eastAsia="黑体"/>
          <w:b w:val="0"/>
          <w:color w:val="auto"/>
          <w:highlight w:val="none"/>
        </w:rPr>
        <w:t>出决算情况说明</w:t>
      </w:r>
      <w:bookmarkEnd w:id="24"/>
      <w:bookmarkEnd w:id="25"/>
      <w:bookmarkEnd w:id="26"/>
    </w:p>
    <w:p>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27" w:name="_Toc20817"/>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lang w:val="en-US" w:eastAsia="zh-CN"/>
        </w:rPr>
        <w:t>493.2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397.97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80.69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95.23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19.3</w:t>
      </w:r>
      <w:r>
        <w:rPr>
          <w:rFonts w:hint="eastAsia" w:ascii="仿宋_GB2312" w:hAnsi="仿宋_GB2312" w:eastAsia="仿宋_GB2312" w:cs="仿宋_GB2312"/>
          <w:color w:val="auto"/>
          <w:sz w:val="32"/>
          <w:szCs w:val="32"/>
          <w:highlight w:val="none"/>
          <w:lang w:eastAsia="zh-CN"/>
        </w:rPr>
        <w:t>%；</w:t>
      </w:r>
      <w:bookmarkEnd w:id="27"/>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pStyle w:val="24"/>
        <w:rPr>
          <w:rFonts w:hint="eastAsia" w:ascii="Times New Roman" w:hAnsi="Times New Roman" w:eastAsia="仿宋_GB2312" w:cs="仿宋_GB2312"/>
          <w:color w:val="auto"/>
          <w:sz w:val="32"/>
          <w:szCs w:val="32"/>
          <w:highlight w:val="none"/>
          <w:lang w:eastAsia="zh-CN"/>
        </w:rPr>
      </w:pPr>
      <w:r>
        <w:rPr>
          <w:rFonts w:hint="eastAsia"/>
          <w:lang w:eastAsia="zh-CN"/>
        </w:rPr>
        <w:drawing>
          <wp:inline distT="0" distB="0" distL="114300" distR="114300">
            <wp:extent cx="4939030" cy="3162300"/>
            <wp:effectExtent l="4445" t="4445" r="952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22"/>
          <w:rFonts w:ascii="Times New Roman" w:hAnsi="Times New Roman" w:eastAsia="黑体"/>
          <w:b w:val="0"/>
          <w:color w:val="auto"/>
          <w:highlight w:val="none"/>
        </w:rPr>
      </w:pPr>
      <w:bookmarkStart w:id="28" w:name="_Toc15377208"/>
      <w:bookmarkStart w:id="29" w:name="_Toc15396606"/>
      <w:bookmarkStart w:id="30" w:name="_Toc9479"/>
      <w:r>
        <w:rPr>
          <w:rFonts w:hint="eastAsia" w:ascii="Times New Roman" w:hAnsi="Times New Roman" w:eastAsia="黑体"/>
          <w:color w:val="auto"/>
          <w:sz w:val="32"/>
          <w:szCs w:val="32"/>
          <w:highlight w:val="none"/>
        </w:rPr>
        <w:t>四、财</w:t>
      </w:r>
      <w:r>
        <w:rPr>
          <w:rStyle w:val="22"/>
          <w:rFonts w:hint="eastAsia" w:ascii="Times New Roman" w:hAnsi="Times New Roman" w:eastAsia="黑体"/>
          <w:b w:val="0"/>
          <w:color w:val="auto"/>
          <w:highlight w:val="none"/>
        </w:rPr>
        <w:t>政拨款收入支出决算总体情况说明</w:t>
      </w:r>
      <w:bookmarkEnd w:id="28"/>
      <w:bookmarkEnd w:id="29"/>
      <w:bookmarkEnd w:id="30"/>
    </w:p>
    <w:p>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bookmarkStart w:id="31" w:name="_Toc29679"/>
      <w:r>
        <w:rPr>
          <w:rFonts w:hint="eastAsia" w:ascii="仿宋_GB2312" w:hAnsi="仿宋_GB2312" w:eastAsia="仿宋_GB2312" w:cs="仿宋_GB2312"/>
          <w:sz w:val="32"/>
          <w:szCs w:val="32"/>
          <w:lang w:val="en-US" w:eastAsia="zh-CN"/>
        </w:rPr>
        <w:t>2024年度财政拨款收入、支出总计均为493.22万元。与2023年度相比，财政拨款收入总计、支出总计各增加12.14万元，增长2.52%。</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_GB2312" w:eastAsia="仿宋_GB2312" w:cs="仿宋_GB2312"/>
          <w:color w:val="auto"/>
          <w:sz w:val="32"/>
          <w:szCs w:val="32"/>
          <w:highlight w:val="none"/>
          <w:lang w:val="en-US" w:eastAsia="zh-CN"/>
        </w:rPr>
        <w:t>2024</w:t>
      </w:r>
      <w:r>
        <w:rPr>
          <w:rFonts w:hint="eastAsia" w:eastAsia="仿宋_GB2312" w:cs="仿宋_GB2312"/>
          <w:color w:val="auto"/>
          <w:sz w:val="32"/>
          <w:szCs w:val="32"/>
          <w:highlight w:val="none"/>
          <w:lang w:val="en-US" w:eastAsia="zh-CN"/>
        </w:rPr>
        <w:t>年度</w:t>
      </w:r>
      <w:r>
        <w:rPr>
          <w:rFonts w:hint="eastAsia" w:ascii="仿宋_GB2312" w:hAnsi="仿宋" w:eastAsia="仿宋_GB2312"/>
          <w:sz w:val="32"/>
          <w:szCs w:val="32"/>
        </w:rPr>
        <w:t>项目经费支出</w:t>
      </w:r>
      <w:r>
        <w:rPr>
          <w:rFonts w:hint="eastAsia" w:ascii="仿宋_GB2312" w:hAnsi="仿宋" w:eastAsia="仿宋_GB2312"/>
          <w:sz w:val="32"/>
          <w:szCs w:val="32"/>
          <w:lang w:eastAsia="zh-CN"/>
        </w:rPr>
        <w:t>略有</w:t>
      </w:r>
      <w:r>
        <w:rPr>
          <w:rFonts w:hint="eastAsia" w:ascii="仿宋_GB2312" w:hAnsi="仿宋" w:eastAsia="仿宋_GB2312"/>
          <w:sz w:val="32"/>
          <w:szCs w:val="32"/>
        </w:rPr>
        <w:t>增加</w:t>
      </w:r>
      <w:r>
        <w:rPr>
          <w:rFonts w:hint="eastAsia" w:ascii="仿宋_GB2312" w:hAnsi="仿宋" w:eastAsia="仿宋_GB2312"/>
          <w:sz w:val="32"/>
          <w:szCs w:val="32"/>
          <w:lang w:eastAsia="zh-CN"/>
        </w:rPr>
        <w:t>。</w:t>
      </w:r>
      <w:bookmarkEnd w:id="31"/>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pStyle w:val="24"/>
        <w:rPr>
          <w:rFonts w:hint="eastAsia"/>
          <w:lang w:val="en-US" w:eastAsia="zh-CN"/>
        </w:rPr>
      </w:pPr>
      <w:r>
        <w:rPr>
          <w:rFonts w:hint="eastAsia"/>
          <w:lang w:val="en-US" w:eastAsia="zh-CN"/>
        </w:rPr>
        <w:drawing>
          <wp:inline distT="0" distB="0" distL="114300" distR="114300">
            <wp:extent cx="4956810" cy="3467100"/>
            <wp:effectExtent l="5080" t="4445" r="1016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22"/>
          <w:rFonts w:ascii="Times New Roman" w:hAnsi="Times New Roman" w:eastAsia="黑体"/>
          <w:b w:val="0"/>
          <w:color w:val="auto"/>
          <w:highlight w:val="none"/>
        </w:rPr>
      </w:pPr>
      <w:bookmarkStart w:id="32" w:name="_Toc15396607"/>
      <w:bookmarkStart w:id="33" w:name="_Toc6030"/>
      <w:bookmarkStart w:id="34"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2"/>
          <w:rFonts w:hint="eastAsia" w:ascii="Times New Roman" w:hAnsi="Times New Roman" w:eastAsia="黑体"/>
          <w:b w:val="0"/>
          <w:color w:val="auto"/>
          <w:highlight w:val="none"/>
        </w:rPr>
        <w:t>般公共预算财政拨款支出决算情况说明</w:t>
      </w:r>
      <w:bookmarkEnd w:id="32"/>
      <w:bookmarkEnd w:id="33"/>
      <w:bookmarkEnd w:id="34"/>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5" w:name="_Toc28768"/>
      <w:bookmarkStart w:id="3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5"/>
      <w:bookmarkEnd w:id="36"/>
    </w:p>
    <w:p>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37" w:name="_Toc31947"/>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lang w:val="en-US" w:eastAsia="zh-CN"/>
        </w:rPr>
        <w:t>493.2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%。与2023年度相比，一般公共预算财政拨款支出增加15.72万元，增长</w:t>
      </w:r>
      <w:r>
        <w:rPr>
          <w:rFonts w:hint="eastAsia" w:ascii="仿宋_GB2312" w:hAnsi="仿宋" w:eastAsia="仿宋_GB2312"/>
          <w:sz w:val="32"/>
          <w:szCs w:val="32"/>
          <w:lang w:val="en-US" w:eastAsia="zh-CN"/>
        </w:rPr>
        <w:t>3.29</w:t>
      </w:r>
      <w:r>
        <w:rPr>
          <w:rFonts w:hint="eastAsia" w:ascii="仿宋_GB2312" w:hAnsi="仿宋_GB2312" w:eastAsia="仿宋_GB2312" w:cs="仿宋_GB2312"/>
          <w:color w:val="auto"/>
          <w:kern w:val="2"/>
          <w:sz w:val="32"/>
          <w:szCs w:val="32"/>
          <w:highlight w:val="none"/>
          <w:lang w:val="en-US" w:eastAsia="zh-CN" w:bidi="ar-SA"/>
        </w:rPr>
        <w:t>%。主要变动原因是</w:t>
      </w:r>
      <w:r>
        <w:rPr>
          <w:rFonts w:hint="eastAsia" w:ascii="仿宋_GB2312" w:hAnsi="仿宋_GB2312" w:eastAsia="仿宋_GB2312" w:cs="仿宋_GB2312"/>
          <w:color w:val="auto"/>
          <w:sz w:val="32"/>
          <w:szCs w:val="32"/>
          <w:highlight w:val="none"/>
          <w:lang w:val="en-US" w:eastAsia="zh-CN"/>
        </w:rPr>
        <w:t>2024</w:t>
      </w:r>
      <w:r>
        <w:rPr>
          <w:rFonts w:hint="eastAsia" w:eastAsia="仿宋_GB2312" w:cs="仿宋_GB2312"/>
          <w:color w:val="auto"/>
          <w:sz w:val="32"/>
          <w:szCs w:val="32"/>
          <w:highlight w:val="none"/>
          <w:lang w:val="en-US" w:eastAsia="zh-CN"/>
        </w:rPr>
        <w:t>年度</w:t>
      </w:r>
      <w:r>
        <w:rPr>
          <w:rFonts w:hint="eastAsia" w:ascii="仿宋_GB2312" w:hAnsi="仿宋" w:eastAsia="仿宋_GB2312"/>
          <w:sz w:val="32"/>
          <w:szCs w:val="32"/>
        </w:rPr>
        <w:t>项目经费支出</w:t>
      </w:r>
      <w:r>
        <w:rPr>
          <w:rFonts w:hint="eastAsia" w:ascii="仿宋_GB2312" w:hAnsi="仿宋" w:eastAsia="仿宋_GB2312"/>
          <w:sz w:val="32"/>
          <w:szCs w:val="32"/>
          <w:lang w:eastAsia="zh-CN"/>
        </w:rPr>
        <w:t>略有</w:t>
      </w:r>
      <w:r>
        <w:rPr>
          <w:rFonts w:hint="eastAsia" w:ascii="仿宋_GB2312" w:hAnsi="仿宋" w:eastAsia="仿宋_GB2312"/>
          <w:sz w:val="32"/>
          <w:szCs w:val="32"/>
        </w:rPr>
        <w:t>增加</w:t>
      </w:r>
      <w:r>
        <w:rPr>
          <w:rFonts w:hint="eastAsia" w:ascii="仿宋_GB2312" w:hAnsi="仿宋" w:eastAsia="仿宋_GB2312"/>
          <w:sz w:val="32"/>
          <w:szCs w:val="32"/>
          <w:lang w:eastAsia="zh-CN"/>
        </w:rPr>
        <w:t>。</w:t>
      </w:r>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pStyle w:val="24"/>
        <w:jc w:val="center"/>
        <w:rPr>
          <w:rFonts w:hint="eastAsia"/>
          <w:lang w:val="en-US" w:eastAsia="zh-CN"/>
        </w:rPr>
      </w:pPr>
      <w:r>
        <w:rPr>
          <w:rFonts w:hint="eastAsia"/>
          <w:lang w:val="en-US" w:eastAsia="zh-CN"/>
        </w:rPr>
        <w:drawing>
          <wp:inline distT="0" distB="0" distL="114300" distR="114300">
            <wp:extent cx="4784725" cy="3343910"/>
            <wp:effectExtent l="4445" t="5080" r="11430" b="2286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rPr>
          <w:rFonts w:hint="eastAsia"/>
          <w:lang w:val="en-US" w:eastAsia="zh-CN"/>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8" w:name="_Toc15377211"/>
      <w:bookmarkStart w:id="39" w:name="_Toc11542"/>
      <w:r>
        <w:rPr>
          <w:rFonts w:hint="eastAsia" w:ascii="Times New Roman" w:hAnsi="Times New Roman" w:eastAsia="楷体_GB2312" w:cs="楷体_GB2312"/>
          <w:b/>
          <w:color w:val="auto"/>
          <w:sz w:val="32"/>
          <w:szCs w:val="32"/>
          <w:highlight w:val="none"/>
        </w:rPr>
        <w:t>（二）一般公共预算财政拨款支出决算结构情况</w:t>
      </w:r>
      <w:bookmarkEnd w:id="38"/>
      <w:bookmarkEnd w:id="39"/>
    </w:p>
    <w:p>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2024年度一般公共预算财政拨款支出493.2万元，主要用于以下方面：</w:t>
      </w:r>
      <w:r>
        <w:rPr>
          <w:rFonts w:hint="eastAsia" w:ascii="仿宋_GB2312" w:hAnsi="仿宋_GB2312" w:eastAsia="仿宋_GB2312" w:cs="仿宋_GB2312"/>
          <w:b/>
          <w:bCs/>
          <w:sz w:val="32"/>
          <w:szCs w:val="32"/>
          <w:lang w:val="en-US" w:eastAsia="zh-CN"/>
        </w:rPr>
        <w:t>一般公共服务支出</w:t>
      </w:r>
      <w:r>
        <w:rPr>
          <w:rFonts w:hint="eastAsia" w:ascii="仿宋_GB2312" w:hAnsi="仿宋_GB2312" w:eastAsia="仿宋_GB2312" w:cs="仿宋_GB2312"/>
          <w:sz w:val="32"/>
          <w:szCs w:val="32"/>
          <w:lang w:val="en-US" w:eastAsia="zh-CN"/>
        </w:rPr>
        <w:t>401.12万元，占81.33%；</w:t>
      </w:r>
      <w:r>
        <w:rPr>
          <w:rFonts w:hint="eastAsia" w:ascii="仿宋_GB2312" w:hAnsi="仿宋_GB2312" w:eastAsia="仿宋_GB2312" w:cs="仿宋_GB2312"/>
          <w:b/>
          <w:bCs/>
          <w:sz w:val="32"/>
          <w:szCs w:val="32"/>
          <w:lang w:val="en-US" w:eastAsia="zh-CN"/>
        </w:rPr>
        <w:t>社会保障和就业支出</w:t>
      </w:r>
      <w:r>
        <w:rPr>
          <w:rFonts w:hint="eastAsia" w:ascii="仿宋_GB2312" w:hAnsi="仿宋_GB2312" w:eastAsia="仿宋_GB2312" w:cs="仿宋_GB2312"/>
          <w:sz w:val="32"/>
          <w:szCs w:val="32"/>
          <w:lang w:val="en-US" w:eastAsia="zh-CN"/>
        </w:rPr>
        <w:t>48.94万元，占9.92%；</w:t>
      </w:r>
      <w:r>
        <w:rPr>
          <w:rFonts w:hint="eastAsia" w:ascii="仿宋_GB2312" w:hAnsi="仿宋_GB2312" w:eastAsia="仿宋_GB2312" w:cs="仿宋_GB2312"/>
          <w:b/>
          <w:bCs/>
          <w:sz w:val="32"/>
          <w:szCs w:val="32"/>
          <w:lang w:val="en-US" w:eastAsia="zh-CN"/>
        </w:rPr>
        <w:t>卫生健康支出</w:t>
      </w:r>
      <w:r>
        <w:rPr>
          <w:rFonts w:hint="eastAsia" w:ascii="仿宋_GB2312" w:hAnsi="仿宋_GB2312" w:eastAsia="仿宋_GB2312" w:cs="仿宋_GB2312"/>
          <w:sz w:val="32"/>
          <w:szCs w:val="32"/>
          <w:lang w:val="en-US" w:eastAsia="zh-CN"/>
        </w:rPr>
        <w:t>12.06万元，占2.45%；</w:t>
      </w:r>
      <w:r>
        <w:rPr>
          <w:rFonts w:hint="eastAsia" w:ascii="仿宋_GB2312" w:hAnsi="仿宋_GB2312" w:eastAsia="仿宋_GB2312" w:cs="仿宋_GB2312"/>
          <w:b/>
          <w:bCs/>
          <w:sz w:val="32"/>
          <w:szCs w:val="32"/>
          <w:lang w:val="en-US" w:eastAsia="zh-CN"/>
        </w:rPr>
        <w:t>住房保障支出</w:t>
      </w:r>
      <w:r>
        <w:rPr>
          <w:rFonts w:hint="eastAsia" w:ascii="仿宋_GB2312" w:hAnsi="仿宋_GB2312" w:eastAsia="仿宋_GB2312" w:cs="仿宋_GB2312"/>
          <w:sz w:val="32"/>
          <w:szCs w:val="32"/>
          <w:lang w:val="en-US" w:eastAsia="zh-CN"/>
        </w:rPr>
        <w:t>31.08万元，占6.3%。</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4"/>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738370" cy="3438525"/>
            <wp:effectExtent l="4445" t="4445" r="19685"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4"/>
        <w:ind w:left="0" w:leftChars="0" w:firstLine="0" w:firstLineChars="0"/>
        <w:rPr>
          <w:rFonts w:hint="eastAsia"/>
          <w:lang w:val="en-US" w:eastAsia="zh-CN"/>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0" w:name="_Toc15377212"/>
      <w:bookmarkStart w:id="41" w:name="_Toc3324"/>
      <w:r>
        <w:rPr>
          <w:rFonts w:hint="eastAsia" w:ascii="Times New Roman" w:hAnsi="Times New Roman" w:eastAsia="楷体_GB2312" w:cs="楷体_GB2312"/>
          <w:b/>
          <w:color w:val="auto"/>
          <w:sz w:val="32"/>
          <w:szCs w:val="32"/>
          <w:highlight w:val="none"/>
        </w:rPr>
        <w:t>（三）一般公共预算财政拨款支出决算具体情况</w:t>
      </w:r>
      <w:bookmarkEnd w:id="40"/>
      <w:bookmarkEnd w:id="41"/>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bookmarkStart w:id="42" w:name="_Toc15377213"/>
      <w:bookmarkStart w:id="43" w:name="_Toc15377444"/>
      <w:bookmarkStart w:id="44" w:name="_Toc15378460"/>
      <w:r>
        <w:rPr>
          <w:rFonts w:hint="eastAsia" w:ascii="仿宋_GB2312" w:hAnsi="仿宋_GB2312" w:eastAsia="仿宋_GB2312" w:cs="仿宋_GB2312"/>
          <w:b/>
          <w:bCs/>
          <w:sz w:val="32"/>
          <w:szCs w:val="32"/>
          <w:lang w:val="en-US" w:eastAsia="zh-CN"/>
        </w:rPr>
        <w:t>2024年</w:t>
      </w:r>
      <w:r>
        <w:rPr>
          <w:rFonts w:hint="eastAsia" w:ascii="Times New Roman" w:hAnsi="Times New Roman" w:eastAsia="仿宋_GB2312" w:cs="仿宋_GB2312"/>
          <w:b/>
          <w:bCs/>
          <w:color w:val="auto"/>
          <w:kern w:val="2"/>
          <w:sz w:val="32"/>
          <w:szCs w:val="32"/>
          <w:highlight w:val="none"/>
          <w:lang w:val="en-US" w:eastAsia="zh-CN" w:bidi="ar-SA"/>
        </w:rPr>
        <w:t>度一般公共预算财政拨款支出决算数为</w:t>
      </w:r>
      <w:r>
        <w:rPr>
          <w:rFonts w:hint="eastAsia" w:ascii="仿宋_GB2312" w:hAnsi="仿宋_GB2312" w:eastAsia="仿宋_GB2312" w:cs="仿宋_GB2312"/>
          <w:b/>
          <w:bCs/>
          <w:sz w:val="32"/>
          <w:szCs w:val="32"/>
          <w:lang w:val="en-US" w:eastAsia="zh-CN"/>
        </w:rPr>
        <w:t>493.2万元，</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99.99</w:t>
      </w:r>
      <w:r>
        <w:rPr>
          <w:rFonts w:hint="eastAsia" w:ascii="仿宋_GB2312" w:hAnsi="仿宋_GB2312" w:eastAsia="仿宋_GB2312" w:cs="仿宋_GB2312"/>
          <w:b/>
          <w:bCs/>
          <w:sz w:val="32"/>
          <w:szCs w:val="32"/>
          <w:lang w:val="en-US" w:eastAsia="zh-CN"/>
        </w:rPr>
        <w:t>%。</w:t>
      </w:r>
      <w:r>
        <w:rPr>
          <w:rFonts w:hint="eastAsia" w:ascii="Times New Roman" w:hAnsi="Times New Roman" w:eastAsia="仿宋_GB2312" w:cs="仿宋_GB2312"/>
          <w:b/>
          <w:bCs/>
          <w:color w:val="auto"/>
          <w:kern w:val="2"/>
          <w:sz w:val="32"/>
          <w:szCs w:val="32"/>
          <w:highlight w:val="none"/>
          <w:lang w:val="en-US" w:eastAsia="zh-CN" w:bidi="ar-SA"/>
        </w:rPr>
        <w:t>其中：</w:t>
      </w:r>
      <w:bookmarkEnd w:id="42"/>
      <w:bookmarkEnd w:id="43"/>
      <w:bookmarkEnd w:id="44"/>
    </w:p>
    <w:p>
      <w:pPr>
        <w:pStyle w:val="24"/>
        <w:ind w:left="0" w:leftChars="0" w:firstLine="640" w:firstLineChars="200"/>
        <w:rPr>
          <w:rStyle w:val="19"/>
          <w:rFonts w:hint="eastAsia" w:ascii="仿宋_GB2312" w:hAnsi="仿宋_GB2312" w:eastAsia="仿宋_GB2312" w:cs="仿宋_GB2312"/>
          <w:b w:val="0"/>
          <w:bCs/>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 xml:space="preserve"> </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.一</w:t>
      </w:r>
      <w:r>
        <w:rPr>
          <w:rStyle w:val="19"/>
          <w:rFonts w:hint="eastAsia" w:ascii="仿宋_GB2312" w:hAnsi="仿宋_GB2312" w:eastAsia="仿宋_GB2312" w:cs="仿宋_GB2312"/>
          <w:bCs/>
          <w:sz w:val="32"/>
          <w:szCs w:val="32"/>
        </w:rPr>
        <w:t>般公共服务支出（类）政府办公厅（室）及相关机构事务（款）</w:t>
      </w:r>
      <w:r>
        <w:rPr>
          <w:rStyle w:val="19"/>
          <w:rFonts w:hint="eastAsia" w:ascii="仿宋_GB2312" w:hAnsi="仿宋_GB2312" w:eastAsia="仿宋_GB2312" w:cs="仿宋_GB2312"/>
          <w:bCs/>
          <w:sz w:val="32"/>
          <w:szCs w:val="32"/>
          <w:lang w:eastAsia="zh-CN"/>
        </w:rPr>
        <w:t>事业</w:t>
      </w:r>
      <w:r>
        <w:rPr>
          <w:rStyle w:val="19"/>
          <w:rFonts w:hint="eastAsia" w:ascii="仿宋_GB2312" w:hAnsi="仿宋_GB2312" w:eastAsia="仿宋_GB2312" w:cs="仿宋_GB2312"/>
          <w:bCs/>
          <w:sz w:val="32"/>
          <w:szCs w:val="32"/>
        </w:rPr>
        <w:t>运行（项）</w:t>
      </w:r>
      <w:r>
        <w:rPr>
          <w:rStyle w:val="19"/>
          <w:rFonts w:hint="eastAsia" w:ascii="仿宋_GB2312" w:hAnsi="仿宋_GB2312" w:eastAsia="仿宋_GB2312" w:cs="仿宋_GB2312"/>
          <w:bCs/>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ascii="仿宋_GB2312" w:hAnsi="仿宋_GB2312" w:eastAsia="仿宋_GB2312" w:cs="仿宋_GB2312"/>
          <w:sz w:val="32"/>
          <w:szCs w:val="32"/>
          <w:lang w:val="en-US" w:eastAsia="zh-CN"/>
        </w:rPr>
        <w:t>305.89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99.99%，</w:t>
      </w:r>
      <w:r>
        <w:rPr>
          <w:rStyle w:val="19"/>
          <w:rFonts w:hint="eastAsia" w:ascii="仿宋_GB2312" w:hAnsi="仿宋_GB2312" w:eastAsia="仿宋_GB2312" w:cs="仿宋_GB2312"/>
          <w:b w:val="0"/>
          <w:bCs/>
          <w:sz w:val="32"/>
          <w:szCs w:val="32"/>
        </w:rPr>
        <w:t>决算数</w:t>
      </w:r>
      <w:r>
        <w:rPr>
          <w:rStyle w:val="19"/>
          <w:rFonts w:hint="eastAsia" w:ascii="仿宋_GB2312" w:hAnsi="仿宋_GB2312" w:eastAsia="仿宋_GB2312" w:cs="仿宋_GB2312"/>
          <w:b w:val="0"/>
          <w:bCs/>
          <w:sz w:val="32"/>
          <w:szCs w:val="32"/>
          <w:lang w:eastAsia="zh-CN"/>
        </w:rPr>
        <w:t>与</w:t>
      </w:r>
      <w:r>
        <w:rPr>
          <w:rStyle w:val="19"/>
          <w:rFonts w:hint="eastAsia" w:ascii="仿宋_GB2312" w:hAnsi="仿宋_GB2312" w:eastAsia="仿宋_GB2312" w:cs="仿宋_GB2312"/>
          <w:b w:val="0"/>
          <w:bCs/>
          <w:sz w:val="32"/>
          <w:szCs w:val="32"/>
        </w:rPr>
        <w:t>预算数</w:t>
      </w:r>
      <w:r>
        <w:rPr>
          <w:rStyle w:val="19"/>
          <w:rFonts w:hint="eastAsia" w:ascii="仿宋_GB2312" w:hAnsi="仿宋_GB2312" w:eastAsia="仿宋_GB2312" w:cs="仿宋_GB2312"/>
          <w:b w:val="0"/>
          <w:bCs/>
          <w:sz w:val="32"/>
          <w:szCs w:val="32"/>
          <w:lang w:eastAsia="zh-CN"/>
        </w:rPr>
        <w:t>基本持平，部分经费未清算，结转至下年支付。</w:t>
      </w:r>
    </w:p>
    <w:p>
      <w:pPr>
        <w:spacing w:line="600" w:lineRule="exact"/>
        <w:ind w:firstLine="642" w:firstLineChars="200"/>
        <w:rPr>
          <w:rStyle w:val="19"/>
          <w:rFonts w:hint="eastAsia" w:ascii="仿宋" w:hAnsi="仿宋" w:eastAsia="仿宋"/>
          <w:b w:val="0"/>
          <w:bCs/>
          <w:color w:val="auto"/>
          <w:sz w:val="32"/>
          <w:szCs w:val="32"/>
          <w:highlight w:val="none"/>
          <w:lang w:eastAsia="zh-CN"/>
        </w:rPr>
      </w:pPr>
      <w:r>
        <w:rPr>
          <w:rStyle w:val="19"/>
          <w:rFonts w:hint="eastAsia" w:ascii="仿宋" w:hAnsi="仿宋" w:eastAsia="仿宋"/>
          <w:bCs/>
          <w:color w:val="auto"/>
          <w:sz w:val="32"/>
          <w:szCs w:val="32"/>
          <w:highlight w:val="none"/>
          <w:lang w:val="en-US" w:eastAsia="zh-CN"/>
        </w:rPr>
        <w:t>2.</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eastAsia="zh-CN"/>
        </w:rPr>
        <w:t>政府办公厅（室）及相关机构事务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其他政府办公厅（室）及相关机构事务支出</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95.23</w:t>
      </w:r>
      <w:r>
        <w:rPr>
          <w:rStyle w:val="19"/>
          <w:rFonts w:hint="eastAsia" w:ascii="仿宋" w:hAnsi="仿宋" w:eastAsia="仿宋"/>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_GB2312" w:hAnsi="仿宋_GB2312" w:eastAsia="仿宋_GB2312" w:cs="仿宋_GB2312"/>
          <w:b w:val="0"/>
          <w:bCs/>
          <w:sz w:val="32"/>
          <w:szCs w:val="32"/>
        </w:rPr>
        <w:t>决算数等于预算数。</w:t>
      </w:r>
    </w:p>
    <w:p>
      <w:pPr>
        <w:ind w:firstLine="640"/>
        <w:rPr>
          <w:rStyle w:val="19"/>
          <w:rFonts w:hint="eastAsia" w:ascii="仿宋_GB2312" w:hAnsi="仿宋_GB2312" w:eastAsia="仿宋_GB2312" w:cs="仿宋_GB2312"/>
          <w:b w:val="0"/>
          <w:bCs/>
          <w:sz w:val="32"/>
          <w:szCs w:val="32"/>
          <w:lang w:eastAsia="zh-CN"/>
        </w:rPr>
      </w:pPr>
      <w:r>
        <w:rPr>
          <w:rStyle w:val="19"/>
          <w:rFonts w:hint="eastAsia" w:ascii="仿宋_GB2312" w:hAnsi="仿宋_GB2312" w:eastAsia="仿宋_GB2312" w:cs="仿宋_GB2312"/>
          <w:bCs/>
          <w:sz w:val="32"/>
          <w:szCs w:val="32"/>
          <w:lang w:val="en-US" w:eastAsia="zh-CN"/>
        </w:rPr>
        <w:t>3.</w:t>
      </w:r>
      <w:r>
        <w:rPr>
          <w:rStyle w:val="19"/>
          <w:rFonts w:hint="eastAsia" w:ascii="仿宋_GB2312" w:hAnsi="仿宋_GB2312" w:eastAsia="仿宋_GB2312" w:cs="仿宋_GB2312"/>
          <w:bCs/>
          <w:sz w:val="32"/>
          <w:szCs w:val="32"/>
        </w:rPr>
        <w:t>社会保障和就业支出（类）</w:t>
      </w:r>
      <w:r>
        <w:rPr>
          <w:rStyle w:val="19"/>
          <w:rFonts w:hint="eastAsia" w:ascii="仿宋_GB2312" w:hAnsi="仿宋_GB2312" w:eastAsia="仿宋_GB2312" w:cs="仿宋_GB2312"/>
          <w:bCs/>
          <w:sz w:val="32"/>
          <w:szCs w:val="32"/>
          <w:lang w:eastAsia="zh-CN"/>
        </w:rPr>
        <w:t>行政事业单位养老支出</w:t>
      </w:r>
      <w:r>
        <w:rPr>
          <w:rStyle w:val="19"/>
          <w:rFonts w:hint="eastAsia" w:ascii="仿宋_GB2312" w:hAnsi="仿宋_GB2312" w:eastAsia="仿宋_GB2312" w:cs="仿宋_GB2312"/>
          <w:bCs/>
          <w:sz w:val="32"/>
          <w:szCs w:val="32"/>
        </w:rPr>
        <w:t>（款）机关事业单位基本养老保险缴费支出（项）</w:t>
      </w:r>
      <w:r>
        <w:rPr>
          <w:rStyle w:val="19"/>
          <w:rFonts w:hint="eastAsia" w:ascii="仿宋_GB2312" w:hAnsi="仿宋_GB2312" w:eastAsia="仿宋_GB2312" w:cs="仿宋_GB2312"/>
          <w:bCs/>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ascii="仿宋_GB2312" w:hAnsi="仿宋_GB2312" w:eastAsia="仿宋_GB2312" w:cs="仿宋_GB2312"/>
          <w:sz w:val="32"/>
          <w:szCs w:val="32"/>
          <w:lang w:val="en-US" w:eastAsia="zh-CN"/>
        </w:rPr>
        <w:t>35.56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100%，</w:t>
      </w:r>
      <w:r>
        <w:rPr>
          <w:rStyle w:val="19"/>
          <w:rFonts w:hint="eastAsia" w:ascii="仿宋_GB2312" w:hAnsi="仿宋_GB2312" w:eastAsia="仿宋_GB2312" w:cs="仿宋_GB2312"/>
          <w:b w:val="0"/>
          <w:bCs/>
          <w:sz w:val="32"/>
          <w:szCs w:val="32"/>
        </w:rPr>
        <w:t>决算数等于预算数</w:t>
      </w:r>
      <w:r>
        <w:rPr>
          <w:rStyle w:val="19"/>
          <w:rFonts w:hint="eastAsia" w:ascii="仿宋_GB2312" w:hAnsi="仿宋_GB2312" w:eastAsia="仿宋_GB2312" w:cs="仿宋_GB2312"/>
          <w:b w:val="0"/>
          <w:bCs/>
          <w:sz w:val="32"/>
          <w:szCs w:val="32"/>
          <w:lang w:eastAsia="zh-CN"/>
        </w:rPr>
        <w:t>。</w:t>
      </w:r>
    </w:p>
    <w:p>
      <w:pPr>
        <w:ind w:firstLine="640"/>
        <w:rPr>
          <w:rFonts w:hint="eastAsia"/>
          <w:lang w:eastAsia="zh-CN"/>
        </w:rPr>
      </w:pPr>
      <w:r>
        <w:rPr>
          <w:rStyle w:val="19"/>
          <w:rFonts w:hint="eastAsia" w:ascii="仿宋_GB2312" w:hAnsi="仿宋_GB2312" w:eastAsia="仿宋_GB2312" w:cs="仿宋_GB2312"/>
          <w:bCs/>
          <w:sz w:val="32"/>
          <w:szCs w:val="32"/>
          <w:lang w:val="en-US" w:eastAsia="zh-CN"/>
        </w:rPr>
        <w:t>4.</w:t>
      </w:r>
      <w:r>
        <w:rPr>
          <w:rStyle w:val="19"/>
          <w:rFonts w:hint="eastAsia" w:ascii="仿宋_GB2312" w:hAnsi="仿宋_GB2312" w:eastAsia="仿宋_GB2312" w:cs="仿宋_GB2312"/>
          <w:bCs/>
          <w:sz w:val="32"/>
          <w:szCs w:val="32"/>
        </w:rPr>
        <w:t>社会保障和就业支出（类）</w:t>
      </w:r>
      <w:r>
        <w:rPr>
          <w:rStyle w:val="19"/>
          <w:rFonts w:hint="eastAsia" w:ascii="仿宋_GB2312" w:hAnsi="仿宋_GB2312" w:eastAsia="仿宋_GB2312" w:cs="仿宋_GB2312"/>
          <w:bCs/>
          <w:sz w:val="32"/>
          <w:szCs w:val="32"/>
          <w:lang w:eastAsia="zh-CN"/>
        </w:rPr>
        <w:t>行政事业单位养老支出</w:t>
      </w:r>
      <w:r>
        <w:rPr>
          <w:rStyle w:val="19"/>
          <w:rFonts w:hint="eastAsia" w:ascii="仿宋_GB2312" w:hAnsi="仿宋_GB2312" w:eastAsia="仿宋_GB2312" w:cs="仿宋_GB2312"/>
          <w:bCs/>
          <w:sz w:val="32"/>
          <w:szCs w:val="32"/>
        </w:rPr>
        <w:t>（款）机关事业单位职业年金缴费支出（项）</w:t>
      </w:r>
      <w:r>
        <w:rPr>
          <w:rStyle w:val="19"/>
          <w:rFonts w:hint="eastAsia" w:ascii="仿宋_GB2312" w:hAnsi="仿宋_GB2312" w:eastAsia="仿宋_GB2312" w:cs="仿宋_GB2312"/>
          <w:bCs/>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ascii="仿宋_GB2312" w:hAnsi="仿宋_GB2312" w:eastAsia="仿宋_GB2312" w:cs="仿宋_GB2312"/>
          <w:sz w:val="32"/>
          <w:szCs w:val="32"/>
          <w:lang w:val="en-US" w:eastAsia="zh-CN"/>
        </w:rPr>
        <w:t>12.09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100%，</w:t>
      </w:r>
      <w:r>
        <w:rPr>
          <w:rStyle w:val="19"/>
          <w:rFonts w:hint="eastAsia" w:ascii="仿宋_GB2312" w:hAnsi="仿宋_GB2312" w:eastAsia="仿宋_GB2312" w:cs="仿宋_GB2312"/>
          <w:b w:val="0"/>
          <w:bCs/>
          <w:sz w:val="32"/>
          <w:szCs w:val="32"/>
        </w:rPr>
        <w:t>决算数等于预算数</w:t>
      </w:r>
      <w:r>
        <w:rPr>
          <w:rStyle w:val="19"/>
          <w:rFonts w:hint="eastAsia" w:ascii="仿宋_GB2312" w:hAnsi="仿宋_GB2312" w:eastAsia="仿宋_GB2312" w:cs="仿宋_GB2312"/>
          <w:b w:val="0"/>
          <w:bCs/>
          <w:sz w:val="32"/>
          <w:szCs w:val="32"/>
          <w:lang w:eastAsia="zh-CN"/>
        </w:rPr>
        <w:t>。</w:t>
      </w:r>
    </w:p>
    <w:p>
      <w:pPr>
        <w:ind w:firstLine="640"/>
        <w:rPr>
          <w:rStyle w:val="19"/>
          <w:rFonts w:hint="eastAsia" w:ascii="仿宋_GB2312" w:hAnsi="仿宋_GB2312" w:eastAsia="仿宋_GB2312" w:cs="仿宋_GB2312"/>
          <w:b w:val="0"/>
          <w:bCs/>
          <w:sz w:val="32"/>
          <w:szCs w:val="32"/>
          <w:lang w:eastAsia="zh-CN"/>
        </w:rPr>
      </w:pPr>
      <w:r>
        <w:rPr>
          <w:rStyle w:val="19"/>
          <w:rFonts w:hint="eastAsia" w:ascii="仿宋_GB2312" w:hAnsi="仿宋_GB2312" w:eastAsia="仿宋_GB2312" w:cs="仿宋_GB2312"/>
          <w:bCs/>
          <w:sz w:val="32"/>
          <w:szCs w:val="32"/>
          <w:lang w:val="en-US" w:eastAsia="zh-CN"/>
        </w:rPr>
        <w:t>5.</w:t>
      </w:r>
      <w:r>
        <w:rPr>
          <w:rStyle w:val="19"/>
          <w:rFonts w:hint="eastAsia" w:ascii="仿宋_GB2312" w:hAnsi="仿宋_GB2312" w:eastAsia="仿宋_GB2312" w:cs="仿宋_GB2312"/>
          <w:bCs/>
          <w:sz w:val="32"/>
          <w:szCs w:val="32"/>
        </w:rPr>
        <w:t>社会保障和就业支出（类）</w:t>
      </w:r>
      <w:r>
        <w:rPr>
          <w:rStyle w:val="19"/>
          <w:rFonts w:hint="eastAsia" w:ascii="仿宋_GB2312" w:hAnsi="仿宋_GB2312" w:eastAsia="仿宋_GB2312" w:cs="仿宋_GB2312"/>
          <w:bCs/>
          <w:sz w:val="32"/>
          <w:szCs w:val="32"/>
          <w:lang w:eastAsia="zh-CN"/>
        </w:rPr>
        <w:t>其他社会保障和就业支出</w:t>
      </w:r>
      <w:r>
        <w:rPr>
          <w:rStyle w:val="19"/>
          <w:rFonts w:hint="eastAsia" w:ascii="仿宋_GB2312" w:hAnsi="仿宋_GB2312" w:eastAsia="仿宋_GB2312" w:cs="仿宋_GB2312"/>
          <w:bCs/>
          <w:sz w:val="32"/>
          <w:szCs w:val="32"/>
        </w:rPr>
        <w:t>（款）其他社会保障和就业支出（项）</w:t>
      </w:r>
      <w:r>
        <w:rPr>
          <w:rStyle w:val="19"/>
          <w:rFonts w:hint="eastAsia" w:ascii="仿宋_GB2312" w:hAnsi="仿宋_GB2312" w:eastAsia="仿宋_GB2312" w:cs="仿宋_GB2312"/>
          <w:bCs/>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ascii="仿宋_GB2312" w:hAnsi="仿宋_GB2312" w:eastAsia="仿宋_GB2312" w:cs="仿宋_GB2312"/>
          <w:sz w:val="32"/>
          <w:szCs w:val="32"/>
          <w:lang w:val="en-US" w:eastAsia="zh-CN"/>
        </w:rPr>
        <w:t>1.29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100%，</w:t>
      </w:r>
      <w:r>
        <w:rPr>
          <w:rStyle w:val="19"/>
          <w:rFonts w:hint="eastAsia" w:ascii="仿宋_GB2312" w:hAnsi="仿宋_GB2312" w:eastAsia="仿宋_GB2312" w:cs="仿宋_GB2312"/>
          <w:b w:val="0"/>
          <w:bCs/>
          <w:sz w:val="32"/>
          <w:szCs w:val="32"/>
        </w:rPr>
        <w:t>决算数等于预算数</w:t>
      </w:r>
      <w:r>
        <w:rPr>
          <w:rStyle w:val="19"/>
          <w:rFonts w:hint="eastAsia" w:ascii="仿宋_GB2312" w:hAnsi="仿宋_GB2312" w:eastAsia="仿宋_GB2312" w:cs="仿宋_GB2312"/>
          <w:b w:val="0"/>
          <w:bCs/>
          <w:sz w:val="32"/>
          <w:szCs w:val="32"/>
          <w:lang w:eastAsia="zh-CN"/>
        </w:rPr>
        <w:t>。</w:t>
      </w:r>
    </w:p>
    <w:p>
      <w:pPr>
        <w:spacing w:line="600" w:lineRule="exact"/>
        <w:ind w:firstLine="642" w:firstLineChars="200"/>
        <w:rPr>
          <w:rStyle w:val="19"/>
          <w:rFonts w:hint="eastAsia" w:ascii="仿宋_GB2312" w:hAnsi="仿宋_GB2312" w:eastAsia="仿宋_GB2312" w:cs="仿宋_GB2312"/>
          <w:b w:val="0"/>
          <w:bCs/>
          <w:sz w:val="32"/>
          <w:szCs w:val="32"/>
        </w:rPr>
      </w:pPr>
      <w:r>
        <w:rPr>
          <w:rStyle w:val="19"/>
          <w:rFonts w:hint="eastAsia" w:ascii="仿宋_GB2312" w:hAnsi="仿宋_GB2312" w:eastAsia="仿宋_GB2312" w:cs="仿宋_GB2312"/>
          <w:bCs/>
          <w:sz w:val="32"/>
          <w:szCs w:val="32"/>
          <w:lang w:val="en-US" w:eastAsia="zh-CN"/>
        </w:rPr>
        <w:t>6</w:t>
      </w:r>
      <w:r>
        <w:rPr>
          <w:rStyle w:val="19"/>
          <w:rFonts w:hint="eastAsia" w:ascii="仿宋_GB2312" w:hAnsi="仿宋_GB2312" w:eastAsia="仿宋_GB2312" w:cs="仿宋_GB2312"/>
          <w:bCs/>
          <w:sz w:val="32"/>
          <w:szCs w:val="32"/>
        </w:rPr>
        <w:t>.卫生健康支出（类）行政事业单位医疗（款）事业单位医疗（项）</w:t>
      </w:r>
      <w:r>
        <w:rPr>
          <w:rStyle w:val="19"/>
          <w:rFonts w:hint="eastAsia" w:ascii="仿宋_GB2312" w:hAnsi="仿宋_GB2312" w:eastAsia="仿宋_GB2312" w:cs="仿宋_GB2312"/>
          <w:bCs/>
          <w:sz w:val="32"/>
          <w:szCs w:val="32"/>
          <w:lang w:eastAsia="zh-CN"/>
        </w:rPr>
        <w:t>：</w:t>
      </w:r>
      <w:r>
        <w:rPr>
          <w:rStyle w:val="19"/>
          <w:rFonts w:hint="eastAsia" w:ascii="仿宋_GB2312" w:hAnsi="仿宋_GB2312" w:eastAsia="仿宋_GB2312" w:cs="仿宋_GB2312"/>
          <w:b w:val="0"/>
          <w:bCs/>
          <w:sz w:val="32"/>
          <w:szCs w:val="32"/>
        </w:rPr>
        <w:t>支出决算为</w:t>
      </w:r>
      <w:r>
        <w:rPr>
          <w:rStyle w:val="19"/>
          <w:rFonts w:hint="eastAsia" w:ascii="仿宋_GB2312" w:hAnsi="仿宋_GB2312" w:eastAsia="仿宋_GB2312" w:cs="仿宋_GB2312"/>
          <w:b w:val="0"/>
          <w:bCs/>
          <w:sz w:val="32"/>
          <w:szCs w:val="32"/>
          <w:lang w:val="en-US" w:eastAsia="zh-CN"/>
        </w:rPr>
        <w:t>12.06</w:t>
      </w:r>
      <w:r>
        <w:rPr>
          <w:rStyle w:val="19"/>
          <w:rFonts w:hint="eastAsia" w:ascii="仿宋_GB2312" w:hAnsi="仿宋_GB2312" w:eastAsia="仿宋_GB2312" w:cs="仿宋_GB2312"/>
          <w:b w:val="0"/>
          <w:bCs/>
          <w:sz w:val="32"/>
          <w:szCs w:val="32"/>
        </w:rPr>
        <w:t>万元，完成预算100</w:t>
      </w:r>
      <w:r>
        <w:rPr>
          <w:rStyle w:val="19"/>
          <w:rFonts w:ascii="仿宋_GB2312" w:hAnsi="仿宋_GB2312" w:eastAsia="仿宋_GB2312" w:cs="仿宋_GB2312"/>
          <w:b w:val="0"/>
          <w:bCs/>
          <w:sz w:val="32"/>
          <w:szCs w:val="32"/>
        </w:rPr>
        <w:t>%</w:t>
      </w:r>
      <w:r>
        <w:rPr>
          <w:rStyle w:val="19"/>
          <w:rFonts w:hint="eastAsia" w:ascii="仿宋_GB2312" w:hAnsi="仿宋_GB2312" w:eastAsia="仿宋_GB2312" w:cs="仿宋_GB2312"/>
          <w:bCs/>
        </w:rPr>
        <w:t>，</w:t>
      </w:r>
      <w:r>
        <w:rPr>
          <w:rStyle w:val="19"/>
          <w:rFonts w:hint="eastAsia" w:ascii="仿宋_GB2312" w:hAnsi="仿宋_GB2312" w:eastAsia="仿宋_GB2312" w:cs="仿宋_GB2312"/>
          <w:b w:val="0"/>
          <w:bCs/>
          <w:sz w:val="32"/>
          <w:szCs w:val="32"/>
        </w:rPr>
        <w:t>决算数等于预算数。</w:t>
      </w:r>
    </w:p>
    <w:p>
      <w:pPr>
        <w:spacing w:line="600" w:lineRule="exact"/>
        <w:ind w:firstLine="640" w:firstLineChars="200"/>
        <w:rPr>
          <w:rFonts w:ascii="仿宋_GB2312" w:hAnsi="仿宋_GB2312" w:eastAsia="仿宋_GB2312" w:cs="仿宋_GB2312"/>
          <w:b/>
          <w:sz w:val="32"/>
          <w:szCs w:val="32"/>
        </w:rPr>
      </w:pPr>
      <w:r>
        <w:rPr>
          <w:rStyle w:val="19"/>
          <w:rFonts w:hint="eastAsia" w:hAnsi="仿宋_GB2312" w:cs="仿宋_GB2312"/>
          <w:b w:val="0"/>
          <w:bCs/>
          <w:sz w:val="32"/>
          <w:szCs w:val="32"/>
          <w:lang w:val="en-US" w:eastAsia="zh-CN"/>
        </w:rPr>
        <w:t xml:space="preserve"> 7</w:t>
      </w:r>
      <w:r>
        <w:rPr>
          <w:rStyle w:val="19"/>
          <w:rFonts w:hint="eastAsia" w:ascii="仿宋_GB2312" w:hAnsi="仿宋_GB2312" w:eastAsia="仿宋_GB2312" w:cs="仿宋_GB2312"/>
          <w:bCs/>
          <w:sz w:val="32"/>
          <w:szCs w:val="32"/>
        </w:rPr>
        <w:t>.</w:t>
      </w:r>
      <w:r>
        <w:rPr>
          <w:rFonts w:hint="eastAsia" w:ascii="仿宋_GB2312" w:hAnsi="微软雅黑" w:eastAsia="仿宋_GB2312" w:cs="宋体"/>
          <w:b/>
          <w:color w:val="030303"/>
          <w:kern w:val="0"/>
          <w:sz w:val="32"/>
          <w:szCs w:val="32"/>
        </w:rPr>
        <w:t>住房保障支出（类）住房改革支出（款）住房公积金（项）</w:t>
      </w:r>
      <w:r>
        <w:rPr>
          <w:rFonts w:hint="eastAsia" w:hAnsi="微软雅黑" w:cs="宋体"/>
          <w:b/>
          <w:color w:val="030303"/>
          <w:kern w:val="0"/>
          <w:sz w:val="32"/>
          <w:szCs w:val="32"/>
        </w:rPr>
        <w:t>：</w:t>
      </w:r>
      <w:r>
        <w:rPr>
          <w:rStyle w:val="19"/>
          <w:rFonts w:hint="eastAsia" w:ascii="仿宋_GB2312" w:hAnsi="仿宋_GB2312" w:eastAsia="仿宋_GB2312" w:cs="仿宋_GB2312"/>
          <w:b w:val="0"/>
          <w:bCs/>
          <w:sz w:val="32"/>
          <w:szCs w:val="32"/>
        </w:rPr>
        <w:t>支出决算为</w:t>
      </w:r>
      <w:r>
        <w:rPr>
          <w:rStyle w:val="19"/>
          <w:rFonts w:hint="eastAsia" w:ascii="仿宋_GB2312" w:hAnsi="仿宋_GB2312" w:eastAsia="仿宋_GB2312" w:cs="仿宋_GB2312"/>
          <w:b w:val="0"/>
          <w:bCs/>
          <w:sz w:val="32"/>
          <w:szCs w:val="32"/>
          <w:lang w:val="en-US" w:eastAsia="zh-CN"/>
        </w:rPr>
        <w:t>31.08</w:t>
      </w:r>
      <w:r>
        <w:rPr>
          <w:rStyle w:val="19"/>
          <w:rFonts w:hint="eastAsia" w:ascii="仿宋_GB2312" w:hAnsi="仿宋_GB2312" w:eastAsia="仿宋_GB2312" w:cs="仿宋_GB2312"/>
          <w:b w:val="0"/>
          <w:bCs/>
          <w:sz w:val="32"/>
          <w:szCs w:val="32"/>
        </w:rPr>
        <w:t>万元，完成预算100</w:t>
      </w:r>
      <w:r>
        <w:rPr>
          <w:rStyle w:val="19"/>
          <w:rFonts w:ascii="仿宋_GB2312" w:hAnsi="仿宋_GB2312" w:eastAsia="仿宋_GB2312" w:cs="仿宋_GB2312"/>
          <w:b w:val="0"/>
          <w:bCs/>
          <w:sz w:val="32"/>
          <w:szCs w:val="32"/>
        </w:rPr>
        <w:t>%</w:t>
      </w:r>
      <w:r>
        <w:rPr>
          <w:rStyle w:val="19"/>
          <w:rFonts w:hint="eastAsia" w:ascii="仿宋_GB2312" w:hAnsi="仿宋_GB2312" w:eastAsia="仿宋_GB2312" w:cs="仿宋_GB2312"/>
          <w:b w:val="0"/>
          <w:bCs/>
          <w:sz w:val="32"/>
          <w:szCs w:val="32"/>
        </w:rPr>
        <w:t>，决算数等于预算数。</w:t>
      </w:r>
    </w:p>
    <w:p>
      <w:pPr>
        <w:pStyle w:val="24"/>
        <w:rPr>
          <w:rFonts w:hint="eastAsia"/>
          <w:lang w:eastAsia="zh-CN"/>
        </w:rPr>
      </w:pPr>
    </w:p>
    <w:p>
      <w:pPr>
        <w:tabs>
          <w:tab w:val="right" w:pos="8306"/>
        </w:tabs>
        <w:spacing w:line="600" w:lineRule="exact"/>
        <w:ind w:firstLine="640"/>
        <w:outlineLvl w:val="1"/>
        <w:rPr>
          <w:rStyle w:val="22"/>
          <w:rFonts w:ascii="Times New Roman" w:hAnsi="Times New Roman"/>
          <w:color w:val="auto"/>
          <w:highlight w:val="none"/>
        </w:rPr>
      </w:pPr>
      <w:bookmarkStart w:id="45" w:name="_Toc15396608"/>
      <w:bookmarkStart w:id="46" w:name="_Toc1703"/>
      <w:bookmarkStart w:id="4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2"/>
          <w:rFonts w:hint="eastAsia" w:ascii="Times New Roman" w:hAnsi="Times New Roman" w:eastAsia="黑体"/>
          <w:b w:val="0"/>
          <w:color w:val="auto"/>
          <w:highlight w:val="none"/>
        </w:rPr>
        <w:t>般公共预算财政拨款基本支出决算情况说明</w:t>
      </w:r>
      <w:bookmarkEnd w:id="45"/>
      <w:bookmarkEnd w:id="46"/>
      <w:bookmarkEnd w:id="47"/>
      <w:r>
        <w:rPr>
          <w:rStyle w:val="22"/>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年度一般公共预算财政拨款基本支出</w:t>
      </w:r>
      <w:r>
        <w:rPr>
          <w:rFonts w:hint="eastAsia" w:ascii="仿宋_GB2312" w:hAnsi="仿宋_GB2312" w:eastAsia="仿宋_GB2312" w:cs="仿宋_GB2312"/>
          <w:sz w:val="32"/>
          <w:szCs w:val="32"/>
          <w:lang w:val="en-US" w:eastAsia="zh-CN"/>
        </w:rPr>
        <w:t>397.97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5"/>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lang w:val="en-US" w:eastAsia="zh-CN"/>
        </w:rPr>
        <w:t>356.98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_GB2312" w:hAnsi="仿宋_GB2312" w:eastAsia="仿宋_GB2312" w:cs="仿宋_GB2312"/>
          <w:sz w:val="32"/>
          <w:szCs w:val="32"/>
        </w:rPr>
        <w:t>基本工资、津贴补贴、奖金、 绩效工资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机关事业单位基本养老保险缴费、  职业年金缴费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职工基本医疗保险缴费、其他社会保障缴费、住房公积金、生活补助。</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lang w:val="en-US" w:eastAsia="zh-CN"/>
        </w:rPr>
        <w:t>40.99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办公费、印刷费、手续费、差旅费、维修（护）费、培训费、公务接待费、委托业务费、工会经费、福利费、其他商品和服务支出。</w:t>
      </w:r>
    </w:p>
    <w:p>
      <w:pPr>
        <w:spacing w:line="600" w:lineRule="exact"/>
        <w:ind w:firstLine="640"/>
        <w:outlineLvl w:val="1"/>
        <w:rPr>
          <w:rStyle w:val="22"/>
          <w:rFonts w:ascii="Times New Roman" w:hAnsi="Times New Roman" w:eastAsia="黑体"/>
          <w:b w:val="0"/>
          <w:color w:val="auto"/>
          <w:highlight w:val="none"/>
        </w:rPr>
      </w:pPr>
      <w:bookmarkStart w:id="48" w:name="_Toc15396609"/>
      <w:bookmarkStart w:id="49" w:name="_Toc19079"/>
      <w:bookmarkStart w:id="50" w:name="_Toc15377215"/>
      <w:r>
        <w:rPr>
          <w:rFonts w:hint="eastAsia" w:ascii="Times New Roman" w:hAnsi="Times New Roman" w:eastAsia="黑体"/>
          <w:color w:val="auto"/>
          <w:sz w:val="32"/>
          <w:szCs w:val="32"/>
          <w:highlight w:val="none"/>
        </w:rPr>
        <w:t>七、</w:t>
      </w:r>
      <w:r>
        <w:rPr>
          <w:rStyle w:val="22"/>
          <w:rFonts w:hint="eastAsia" w:ascii="Times New Roman" w:hAnsi="Times New Roman" w:eastAsia="黑体"/>
          <w:b w:val="0"/>
          <w:color w:val="auto"/>
          <w:highlight w:val="none"/>
        </w:rPr>
        <w:t>财政拨款</w:t>
      </w:r>
      <w:r>
        <w:rPr>
          <w:rStyle w:val="22"/>
          <w:rFonts w:hint="eastAsia" w:ascii="Times New Roman" w:hAnsi="Times New Roman" w:eastAsia="黑体"/>
          <w:color w:val="auto"/>
          <w:highlight w:val="none"/>
        </w:rPr>
        <w:t>“</w:t>
      </w:r>
      <w:r>
        <w:rPr>
          <w:rStyle w:val="22"/>
          <w:rFonts w:hint="eastAsia" w:ascii="Times New Roman" w:hAnsi="Times New Roman" w:eastAsia="黑体"/>
          <w:b w:val="0"/>
          <w:color w:val="auto"/>
          <w:highlight w:val="none"/>
        </w:rPr>
        <w:t>三公”经费支出决算情况说明</w:t>
      </w:r>
      <w:bookmarkEnd w:id="48"/>
      <w:bookmarkEnd w:id="49"/>
      <w:bookmarkEnd w:id="50"/>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51" w:name="_Toc13684"/>
      <w:bookmarkStart w:id="5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1"/>
      <w:bookmarkEnd w:id="5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ascii="仿宋_GB2312" w:hAnsi="仿宋_GB2312" w:eastAsia="仿宋_GB2312" w:cs="仿宋_GB2312"/>
          <w:sz w:val="32"/>
          <w:szCs w:val="32"/>
          <w:lang w:val="en-US" w:eastAsia="zh-CN"/>
        </w:rPr>
        <w:t>0.46</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下降</w:t>
      </w:r>
      <w:r>
        <w:rPr>
          <w:rFonts w:hint="eastAsia" w:ascii="仿宋_GB2312" w:hAnsi="仿宋_GB2312" w:eastAsia="仿宋_GB2312" w:cs="仿宋_GB2312"/>
          <w:sz w:val="32"/>
          <w:szCs w:val="32"/>
          <w:lang w:val="en-US" w:eastAsia="zh-CN"/>
        </w:rPr>
        <w:t>63.89%。</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53" w:name="_Toc13680"/>
      <w:bookmarkStart w:id="5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3"/>
      <w:bookmarkEnd w:id="54"/>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pStyle w:val="2"/>
        <w:rPr>
          <w:rFonts w:hint="default"/>
          <w:lang w:val="en-US" w:eastAsia="zh-CN"/>
        </w:rPr>
      </w:pPr>
      <w:r>
        <w:rPr>
          <w:rFonts w:hint="eastAsia" w:ascii="Times New Roman" w:cs="仿宋_GB2312"/>
          <w:color w:val="auto"/>
          <w:kern w:val="2"/>
          <w:sz w:val="32"/>
          <w:szCs w:val="32"/>
          <w:highlight w:val="none"/>
          <w:lang w:val="en-US" w:eastAsia="zh-CN" w:bidi="ar-SA"/>
        </w:rPr>
        <w:t xml:space="preserve">   </w:t>
      </w:r>
      <w:r>
        <w:rPr>
          <w:rFonts w:hint="eastAsia" w:ascii="Times New Roman" w:cs="仿宋_GB2312"/>
          <w:color w:val="auto"/>
          <w:kern w:val="2"/>
          <w:sz w:val="32"/>
          <w:szCs w:val="32"/>
          <w:highlight w:val="none"/>
          <w:lang w:val="en-US" w:eastAsia="zh-CN" w:bidi="ar-SA"/>
        </w:rPr>
        <w:drawing>
          <wp:inline distT="0" distB="0" distL="114300" distR="114300">
            <wp:extent cx="4851400" cy="3162300"/>
            <wp:effectExtent l="4445" t="4445" r="2095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hint="eastAsia" w:ascii="仿宋_GB2312" w:hAnsi="仿宋_GB2312" w:eastAsia="仿宋_GB2312" w:cs="仿宋_GB2312"/>
          <w:sz w:val="32"/>
          <w:szCs w:val="32"/>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ascii="仿宋_GB2312" w:hAnsi="仿宋_GB2312" w:eastAsia="仿宋_GB2312" w:cs="仿宋_GB2312"/>
          <w:sz w:val="32"/>
          <w:szCs w:val="32"/>
        </w:rPr>
        <w:t>0万元，年初未安排预算，因公出国（境）支出决算较202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年无变化。</w:t>
      </w:r>
    </w:p>
    <w:p>
      <w:pPr>
        <w:spacing w:line="600" w:lineRule="exact"/>
        <w:ind w:firstLine="640"/>
        <w:rPr>
          <w:rFonts w:hint="eastAsia" w:ascii="仿宋_GB2312" w:hAnsi="仿宋_GB2312" w:eastAsia="仿宋_GB2312" w:cs="仿宋_GB2312"/>
          <w:b/>
          <w:sz w:val="32"/>
          <w:szCs w:val="32"/>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年初未安排预算，公务用车购置及运行维护支出决算较202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年无变化。</w:t>
      </w:r>
    </w:p>
    <w:p>
      <w:pPr>
        <w:spacing w:line="60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公务用车购置支出</w:t>
      </w:r>
      <w:r>
        <w:rPr>
          <w:rFonts w:hint="eastAsia" w:ascii="仿宋_GB2312" w:hAnsi="仿宋_GB2312" w:eastAsia="仿宋_GB2312" w:cs="仿宋_GB2312"/>
          <w:sz w:val="32"/>
          <w:szCs w:val="32"/>
        </w:rPr>
        <w:t>0万元。202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年度单位未购置公务用车，</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年底</w:t>
      </w:r>
      <w:r>
        <w:rPr>
          <w:rFonts w:hint="eastAsia" w:ascii="仿宋_GB2312" w:eastAsia="仿宋_GB2312"/>
          <w:sz w:val="32"/>
          <w:szCs w:val="32"/>
          <w:lang w:eastAsia="zh-CN"/>
        </w:rPr>
        <w:t>，</w:t>
      </w:r>
      <w:r>
        <w:rPr>
          <w:rFonts w:hint="eastAsia" w:ascii="仿宋_GB2312" w:eastAsia="仿宋_GB2312"/>
          <w:sz w:val="32"/>
          <w:szCs w:val="32"/>
        </w:rPr>
        <w:t>单位无公务用车保有量。</w:t>
      </w:r>
    </w:p>
    <w:p>
      <w:pPr>
        <w:spacing w:line="600" w:lineRule="exact"/>
        <w:ind w:firstLine="640"/>
      </w:pPr>
      <w:r>
        <w:rPr>
          <w:rFonts w:hint="eastAsia" w:ascii="仿宋_GB2312" w:hAnsi="仿宋_GB2312" w:eastAsia="仿宋_GB2312" w:cs="仿宋_GB2312"/>
          <w:b/>
          <w:sz w:val="32"/>
          <w:szCs w:val="32"/>
        </w:rPr>
        <w:t>公务用车运行维护费支出</w:t>
      </w:r>
      <w:r>
        <w:rPr>
          <w:rFonts w:hint="eastAsia" w:ascii="仿宋_GB2312" w:hAnsi="仿宋_GB2312" w:eastAsia="仿宋_GB2312" w:cs="仿宋_GB2312"/>
          <w:sz w:val="32"/>
          <w:szCs w:val="32"/>
        </w:rPr>
        <w:t>0万元。</w:t>
      </w:r>
      <w:r>
        <w:rPr>
          <w:rFonts w:hint="eastAsia" w:ascii="仿宋_GB2312" w:eastAsia="仿宋_GB2312"/>
          <w:sz w:val="32"/>
          <w:szCs w:val="32"/>
        </w:rPr>
        <w:t>本单位未安排公务用车运行维护费。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color w:val="auto"/>
          <w:kern w:val="2"/>
          <w:sz w:val="32"/>
          <w:szCs w:val="32"/>
          <w:highlight w:val="none"/>
          <w:lang w:val="en-US" w:eastAsia="zh-CN" w:bidi="ar-SA"/>
        </w:rPr>
        <w:t>0.26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公务接待费支出决算比</w:t>
      </w:r>
      <w:r>
        <w:rPr>
          <w:rFonts w:hint="eastAsia" w:ascii="仿宋_GB2312" w:hAnsi="仿宋_GB2312" w:eastAsia="仿宋_GB2312" w:cs="仿宋_GB2312"/>
          <w:color w:val="auto"/>
          <w:kern w:val="2"/>
          <w:sz w:val="32"/>
          <w:szCs w:val="32"/>
          <w:highlight w:val="none"/>
          <w:lang w:val="en-US" w:eastAsia="zh-CN" w:bidi="ar-SA"/>
        </w:rPr>
        <w:t>2023</w:t>
      </w:r>
      <w:r>
        <w:rPr>
          <w:rFonts w:hint="eastAsia" w:ascii="Times New Roman" w:hAnsi="Times New Roman" w:eastAsia="仿宋_GB2312" w:cs="仿宋_GB2312"/>
          <w:color w:val="auto"/>
          <w:kern w:val="2"/>
          <w:sz w:val="32"/>
          <w:szCs w:val="32"/>
          <w:highlight w:val="none"/>
          <w:lang w:val="en-US" w:eastAsia="zh-CN" w:bidi="ar-SA"/>
        </w:rPr>
        <w:t>年度减少</w:t>
      </w:r>
      <w:r>
        <w:rPr>
          <w:rFonts w:hint="eastAsia" w:ascii="仿宋_GB2312" w:hAnsi="仿宋_GB2312" w:eastAsia="仿宋_GB2312" w:cs="仿宋_GB2312"/>
          <w:color w:val="auto"/>
          <w:kern w:val="2"/>
          <w:sz w:val="32"/>
          <w:szCs w:val="32"/>
          <w:highlight w:val="none"/>
          <w:lang w:val="en-US" w:eastAsia="zh-CN" w:bidi="ar-SA"/>
        </w:rPr>
        <w:t>0.46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ascii="仿宋_GB2312" w:hAnsi="仿宋_GB2312" w:eastAsia="仿宋_GB2312" w:cs="仿宋_GB2312"/>
          <w:color w:val="auto"/>
          <w:kern w:val="2"/>
          <w:sz w:val="32"/>
          <w:szCs w:val="32"/>
          <w:highlight w:val="none"/>
          <w:lang w:val="en-US" w:eastAsia="zh-CN" w:bidi="ar-SA"/>
        </w:rPr>
        <w:t>63.89%。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年度其他</w:t>
      </w:r>
      <w:r>
        <w:rPr>
          <w:rFonts w:hint="eastAsia" w:ascii="仿宋" w:hAnsi="仿宋" w:eastAsia="仿宋"/>
          <w:sz w:val="32"/>
          <w:szCs w:val="32"/>
        </w:rPr>
        <w:t>市州来我单位考察调研</w:t>
      </w:r>
      <w:r>
        <w:rPr>
          <w:rFonts w:hint="eastAsia" w:ascii="仿宋" w:hAnsi="仿宋" w:eastAsia="仿宋"/>
          <w:sz w:val="32"/>
          <w:szCs w:val="32"/>
          <w:lang w:eastAsia="zh-CN"/>
        </w:rPr>
        <w:t>次数减少</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仿宋_GB2312" w:hAnsi="宋体" w:eastAsia="仿宋_GB2312" w:cs="宋体"/>
          <w:color w:val="000000"/>
          <w:sz w:val="32"/>
          <w:szCs w:val="32"/>
        </w:rPr>
      </w:pPr>
      <w:r>
        <w:rPr>
          <w:rFonts w:hint="eastAsia" w:ascii="Times New Roman" w:hAnsi="Times New Roman" w:eastAsia="仿宋_GB2312" w:cs="仿宋_GB2312"/>
          <w:b/>
          <w:bCs/>
          <w:color w:val="auto"/>
          <w:kern w:val="2"/>
          <w:sz w:val="32"/>
          <w:szCs w:val="32"/>
          <w:highlight w:val="none"/>
          <w:lang w:val="en-US" w:eastAsia="zh-CN" w:bidi="ar-SA"/>
        </w:rPr>
        <w:t>国内公务接待支</w:t>
      </w:r>
      <w:r>
        <w:rPr>
          <w:rFonts w:hint="eastAsia" w:ascii="仿宋_GB2312" w:hAnsi="仿宋_GB2312" w:eastAsia="仿宋_GB2312" w:cs="仿宋_GB2312"/>
          <w:b/>
          <w:bCs/>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仿宋_GB2312" w:hAnsi="仿宋_GB2312" w:eastAsia="仿宋_GB2312" w:cs="仿宋_GB2312"/>
          <w:sz w:val="32"/>
          <w:szCs w:val="32"/>
        </w:rPr>
        <w:t>执行公务、开展业务活动开支的用餐费</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lang w:val="en-US" w:eastAsia="zh-CN"/>
        </w:rPr>
        <w:t>18</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ascii="仿宋_GB2312" w:hAnsi="仿宋_GB2312" w:eastAsia="仿宋_GB2312" w:cs="仿宋_GB2312"/>
          <w:color w:val="auto"/>
          <w:kern w:val="2"/>
          <w:sz w:val="32"/>
          <w:szCs w:val="32"/>
          <w:highlight w:val="none"/>
          <w:lang w:val="en-US" w:eastAsia="zh-CN" w:bidi="ar-SA"/>
        </w:rPr>
        <w:t>0.26万</w:t>
      </w:r>
      <w:r>
        <w:rPr>
          <w:rFonts w:hint="eastAsia" w:ascii="Times New Roman" w:hAnsi="Times New Roman" w:eastAsia="仿宋_GB2312" w:cs="仿宋_GB2312"/>
          <w:color w:val="auto"/>
          <w:kern w:val="2"/>
          <w:sz w:val="32"/>
          <w:szCs w:val="32"/>
          <w:highlight w:val="none"/>
          <w:lang w:val="en-US" w:eastAsia="zh-CN" w:bidi="ar-SA"/>
        </w:rPr>
        <w:t>元，具体内容包括：</w:t>
      </w:r>
      <w:r>
        <w:rPr>
          <w:rFonts w:hint="eastAsia" w:ascii="仿宋_GB2312" w:hAnsi="宋体" w:eastAsia="仿宋_GB2312" w:cs="宋体"/>
          <w:color w:val="000000"/>
          <w:sz w:val="32"/>
          <w:szCs w:val="32"/>
        </w:rPr>
        <w:t>接待其他地市州及市辖县区赴广调研、学习考察等公务接待活动发生餐费支出</w:t>
      </w:r>
      <w:r>
        <w:rPr>
          <w:rFonts w:hint="eastAsia" w:ascii="仿宋_GB2312" w:hAnsi="宋体" w:eastAsia="仿宋_GB2312" w:cs="宋体"/>
          <w:color w:val="000000"/>
          <w:sz w:val="32"/>
          <w:szCs w:val="32"/>
          <w:lang w:val="en-US" w:eastAsia="zh-CN"/>
        </w:rPr>
        <w:t>0.26</w:t>
      </w:r>
      <w:r>
        <w:rPr>
          <w:rFonts w:hint="eastAsia" w:ascii="仿宋_GB2312" w:hAnsi="宋体" w:eastAsia="仿宋_GB2312" w:cs="宋体"/>
          <w:color w:val="000000"/>
          <w:sz w:val="32"/>
          <w:szCs w:val="32"/>
        </w:rPr>
        <w:t>万元。</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外事接待支</w:t>
      </w:r>
      <w:r>
        <w:rPr>
          <w:rFonts w:hint="eastAsia" w:ascii="仿宋_GB2312" w:hAnsi="仿宋_GB2312" w:eastAsia="仿宋_GB2312" w:cs="仿宋_GB2312"/>
          <w:b/>
          <w:bCs/>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bookmarkStart w:id="55" w:name="_Toc15396610"/>
      <w:bookmarkStart w:id="56" w:name="_Toc15377218"/>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outlineLvl w:val="1"/>
        <w:rPr>
          <w:rStyle w:val="22"/>
          <w:rFonts w:ascii="Times New Roman" w:hAnsi="Times New Roman" w:eastAsia="黑体"/>
          <w:color w:val="auto"/>
          <w:highlight w:val="none"/>
        </w:rPr>
      </w:pPr>
      <w:bookmarkStart w:id="57" w:name="_Toc1502"/>
      <w:r>
        <w:rPr>
          <w:rFonts w:hint="eastAsia" w:ascii="Times New Roman" w:hAnsi="Times New Roman" w:eastAsia="黑体"/>
          <w:color w:val="auto"/>
          <w:sz w:val="32"/>
          <w:szCs w:val="32"/>
          <w:highlight w:val="none"/>
        </w:rPr>
        <w:t>八、</w:t>
      </w:r>
      <w:r>
        <w:rPr>
          <w:rStyle w:val="22"/>
          <w:rFonts w:hint="eastAsia" w:ascii="Times New Roman" w:hAnsi="Times New Roman" w:eastAsia="黑体"/>
          <w:b w:val="0"/>
          <w:color w:val="auto"/>
          <w:highlight w:val="none"/>
        </w:rPr>
        <w:t>政府性基金预算支出决算情况说明</w:t>
      </w:r>
      <w:bookmarkEnd w:id="55"/>
      <w:bookmarkEnd w:id="56"/>
      <w:bookmarkEnd w:id="5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numPr>
          <w:ilvl w:val="0"/>
          <w:numId w:val="0"/>
        </w:numPr>
        <w:spacing w:line="600" w:lineRule="exact"/>
        <w:ind w:left="630" w:leftChars="0"/>
        <w:outlineLvl w:val="1"/>
        <w:rPr>
          <w:rStyle w:val="22"/>
          <w:rFonts w:ascii="Times New Roman" w:hAnsi="Times New Roman" w:eastAsia="黑体"/>
          <w:b w:val="0"/>
          <w:color w:val="auto"/>
          <w:highlight w:val="none"/>
        </w:rPr>
      </w:pPr>
      <w:bookmarkStart w:id="58" w:name="_Toc11105"/>
      <w:bookmarkStart w:id="59" w:name="_Toc15396611"/>
      <w:bookmarkStart w:id="60" w:name="_Toc15377219"/>
      <w:r>
        <w:rPr>
          <w:rStyle w:val="22"/>
          <w:rFonts w:hint="eastAsia" w:ascii="Times New Roman" w:hAnsi="Times New Roman" w:eastAsia="黑体"/>
          <w:b w:val="0"/>
          <w:color w:val="auto"/>
          <w:highlight w:val="none"/>
          <w:lang w:eastAsia="zh-CN"/>
        </w:rPr>
        <w:t>九、</w:t>
      </w:r>
      <w:r>
        <w:rPr>
          <w:rStyle w:val="22"/>
          <w:rFonts w:hint="eastAsia" w:ascii="Times New Roman" w:hAnsi="Times New Roman" w:eastAsia="黑体"/>
          <w:b w:val="0"/>
          <w:color w:val="auto"/>
          <w:highlight w:val="none"/>
        </w:rPr>
        <w:t>国有资本经营预算支出决算情况说明</w:t>
      </w:r>
      <w:bookmarkEnd w:id="58"/>
      <w:bookmarkEnd w:id="59"/>
      <w:bookmarkEnd w:id="6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numPr>
          <w:ilvl w:val="0"/>
          <w:numId w:val="0"/>
        </w:numPr>
        <w:spacing w:line="600" w:lineRule="exact"/>
        <w:ind w:left="630" w:leftChars="0"/>
        <w:outlineLvl w:val="1"/>
        <w:rPr>
          <w:rStyle w:val="22"/>
          <w:rFonts w:hint="eastAsia" w:ascii="Times New Roman" w:hAnsi="Times New Roman" w:eastAsia="黑体"/>
          <w:b w:val="0"/>
          <w:color w:val="auto"/>
          <w:highlight w:val="none"/>
        </w:rPr>
      </w:pPr>
      <w:bookmarkStart w:id="61" w:name="_Toc15396612"/>
      <w:bookmarkStart w:id="62" w:name="_Toc7843"/>
      <w:bookmarkStart w:id="63" w:name="_Toc15377221"/>
      <w:r>
        <w:rPr>
          <w:rStyle w:val="22"/>
          <w:rFonts w:hint="eastAsia" w:ascii="Times New Roman" w:hAnsi="Times New Roman" w:eastAsia="黑体"/>
          <w:b w:val="0"/>
          <w:color w:val="auto"/>
          <w:highlight w:val="none"/>
          <w:lang w:eastAsia="zh-CN"/>
        </w:rPr>
        <w:t>十、</w:t>
      </w:r>
      <w:r>
        <w:rPr>
          <w:rStyle w:val="22"/>
          <w:rFonts w:hint="eastAsia" w:ascii="Times New Roman" w:hAnsi="Times New Roman" w:eastAsia="黑体"/>
          <w:b w:val="0"/>
          <w:color w:val="auto"/>
          <w:highlight w:val="none"/>
        </w:rPr>
        <w:t>其他重要事项的情况说明</w:t>
      </w:r>
      <w:bookmarkEnd w:id="61"/>
      <w:bookmarkEnd w:id="62"/>
      <w:bookmarkEnd w:id="63"/>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64" w:name="_Toc15377222"/>
      <w:bookmarkStart w:id="65" w:name="_Toc24811"/>
      <w:r>
        <w:rPr>
          <w:rFonts w:hint="eastAsia" w:ascii="Times New Roman" w:hAnsi="Times New Roman" w:eastAsia="楷体_GB2312" w:cs="楷体_GB2312"/>
          <w:b/>
          <w:color w:val="auto"/>
          <w:sz w:val="32"/>
          <w:szCs w:val="32"/>
          <w:highlight w:val="none"/>
        </w:rPr>
        <w:t>（一）机关运行经费支出情况</w:t>
      </w:r>
      <w:bookmarkEnd w:id="64"/>
      <w:bookmarkEnd w:id="65"/>
    </w:p>
    <w:p>
      <w:pPr>
        <w:spacing w:line="600" w:lineRule="exact"/>
        <w:ind w:firstLine="640" w:firstLineChars="200"/>
        <w:rPr>
          <w:rFonts w:hint="eastAsia" w:ascii="仿宋_GB2312" w:eastAsia="仿宋_GB2312"/>
          <w:color w:val="auto"/>
          <w:sz w:val="32"/>
          <w:szCs w:val="32"/>
          <w:highlight w:val="none"/>
          <w:lang w:val="en-US" w:eastAsia="zh-CN"/>
        </w:rPr>
      </w:pPr>
      <w:bookmarkStart w:id="66" w:name="_Toc15377223"/>
      <w:r>
        <w:rPr>
          <w:rFonts w:hint="eastAsia" w:ascii="仿宋_GB2312" w:eastAsia="仿宋_GB2312"/>
          <w:color w:val="auto"/>
          <w:sz w:val="32"/>
          <w:szCs w:val="32"/>
          <w:highlight w:val="none"/>
          <w:lang w:eastAsia="zh-CN"/>
        </w:rPr>
        <w:t>本单位为事业单位，202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度未发生机关运行经费支出，与</w:t>
      </w:r>
      <w:r>
        <w:rPr>
          <w:rFonts w:hint="eastAsia" w:ascii="仿宋_GB2312" w:eastAsia="仿宋_GB2312"/>
          <w:color w:val="auto"/>
          <w:sz w:val="32"/>
          <w:szCs w:val="32"/>
          <w:highlight w:val="none"/>
          <w:lang w:val="en-US" w:eastAsia="zh-CN"/>
        </w:rPr>
        <w:t>2023年度决算数持平。</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67" w:name="_Toc12185"/>
      <w:r>
        <w:rPr>
          <w:rFonts w:hint="eastAsia" w:ascii="Times New Roman" w:hAnsi="Times New Roman" w:eastAsia="楷体_GB2312" w:cs="楷体_GB2312"/>
          <w:b/>
          <w:color w:val="auto"/>
          <w:sz w:val="32"/>
          <w:szCs w:val="32"/>
          <w:highlight w:val="none"/>
        </w:rPr>
        <w:t>（二）政府采购支出情况</w:t>
      </w:r>
      <w:bookmarkEnd w:id="66"/>
      <w:bookmarkEnd w:id="67"/>
    </w:p>
    <w:p>
      <w:pPr>
        <w:spacing w:line="600" w:lineRule="exact"/>
        <w:ind w:firstLine="640" w:firstLineChars="200"/>
        <w:rPr>
          <w:rFonts w:hint="eastAsia" w:ascii="仿宋_GB2312" w:eastAsia="仿宋_GB2312"/>
          <w:color w:val="auto"/>
          <w:sz w:val="32"/>
          <w:szCs w:val="32"/>
          <w:highlight w:val="none"/>
          <w:lang w:eastAsia="zh-CN"/>
        </w:rPr>
      </w:pPr>
      <w:bookmarkStart w:id="68" w:name="_Toc15377224"/>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s="仿宋_GB2312"/>
          <w:color w:val="000000"/>
          <w:sz w:val="32"/>
          <w:szCs w:val="32"/>
        </w:rPr>
        <w:t>广元市</w:t>
      </w:r>
      <w:r>
        <w:rPr>
          <w:rFonts w:hint="eastAsia" w:ascii="仿宋_GB2312" w:eastAsia="仿宋_GB2312" w:cs="仿宋_GB2312"/>
          <w:color w:val="000000"/>
          <w:sz w:val="32"/>
          <w:szCs w:val="32"/>
          <w:lang w:eastAsia="zh-CN"/>
        </w:rPr>
        <w:t>政务服务和公共资源交易中心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108" w:name="_GoBack"/>
      <w:bookmarkEnd w:id="108"/>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69" w:name="_Toc1522"/>
      <w:r>
        <w:rPr>
          <w:rFonts w:hint="eastAsia" w:ascii="Times New Roman" w:hAnsi="Times New Roman" w:eastAsia="楷体_GB2312" w:cs="楷体_GB2312"/>
          <w:b/>
          <w:color w:val="auto"/>
          <w:sz w:val="32"/>
          <w:szCs w:val="32"/>
          <w:highlight w:val="none"/>
        </w:rPr>
        <w:t>（三）国有资产占有使用情况</w:t>
      </w:r>
      <w:bookmarkEnd w:id="68"/>
      <w:bookmarkEnd w:id="6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eastAsia="仿宋_GB2312" w:cs="仿宋_GB2312"/>
          <w:color w:val="000000"/>
          <w:sz w:val="32"/>
          <w:szCs w:val="32"/>
        </w:rPr>
        <w:t>广元市</w:t>
      </w:r>
      <w:r>
        <w:rPr>
          <w:rFonts w:hint="eastAsia" w:ascii="仿宋_GB2312" w:eastAsia="仿宋_GB2312" w:cs="仿宋_GB2312"/>
          <w:color w:val="000000"/>
          <w:sz w:val="32"/>
          <w:szCs w:val="32"/>
          <w:lang w:eastAsia="zh-CN"/>
        </w:rPr>
        <w:t>政务服务和公共资源交易中心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70" w:name="_Toc29419"/>
      <w:r>
        <w:rPr>
          <w:rFonts w:hint="eastAsia" w:ascii="Times New Roman" w:hAnsi="Times New Roman" w:eastAsia="楷体_GB2312" w:cs="楷体_GB2312"/>
          <w:b/>
          <w:color w:val="auto"/>
          <w:sz w:val="32"/>
          <w:szCs w:val="32"/>
          <w:highlight w:val="none"/>
        </w:rPr>
        <w:t>（四）预算绩效管理情况</w:t>
      </w:r>
      <w:bookmarkEnd w:id="70"/>
    </w:p>
    <w:p>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w:t>
      </w:r>
      <w:r>
        <w:rPr>
          <w:rFonts w:hint="eastAsia" w:ascii="仿宋_GB2312" w:hAnsi="仿宋_GB2312"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年度预算编制阶段，组织对</w:t>
      </w:r>
      <w:r>
        <w:rPr>
          <w:rFonts w:hint="eastAsia" w:ascii="仿宋_GB2312" w:eastAsia="仿宋_GB2312"/>
          <w:sz w:val="32"/>
          <w:szCs w:val="32"/>
          <w:lang w:eastAsia="zh-CN"/>
        </w:rPr>
        <w:t>公共资源交易业务工作经费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ascii="仿宋_GB2312" w:hAnsi="仿宋_GB2312" w:eastAsia="仿宋_GB2312" w:cs="仿宋_GB2312"/>
          <w:color w:val="auto"/>
          <w:kern w:val="2"/>
          <w:sz w:val="32"/>
          <w:szCs w:val="32"/>
          <w:highlight w:val="none"/>
          <w:lang w:val="en-US" w:eastAsia="zh-CN" w:bidi="ar-SA"/>
        </w:rPr>
        <w:t>3个项目开展了预算事前绩效评估，对3个项目编制了绩效目标，预算执行过程中，选取3个项目开展绩效监控组织对3个项目开展绩效自评，绩效自评表见第四部分附件。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6"/>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6"/>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71" w:name="_Toc15396613"/>
      <w:bookmarkStart w:id="72" w:name="_Toc15377225"/>
      <w:bookmarkStart w:id="73" w:name="_Toc30309"/>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71"/>
      <w:bookmarkEnd w:id="72"/>
      <w:bookmarkEnd w:id="73"/>
    </w:p>
    <w:p>
      <w:pPr>
        <w:spacing w:line="600" w:lineRule="exact"/>
        <w:jc w:val="left"/>
        <w:rPr>
          <w:rFonts w:ascii="Times New Roman" w:hAnsi="Times New Roman"/>
          <w:b/>
          <w:color w:val="auto"/>
          <w:sz w:val="44"/>
          <w:szCs w:val="44"/>
          <w:highlight w:val="none"/>
        </w:rPr>
      </w:pPr>
    </w:p>
    <w:p>
      <w:pPr>
        <w:pStyle w:val="33"/>
        <w:spacing w:line="560" w:lineRule="exact"/>
        <w:ind w:firstLine="640" w:firstLineChars="200"/>
        <w:rPr>
          <w:rFonts w:ascii="仿宋_GB2312" w:eastAsia="仿宋_GB2312" w:cs="Times New Roman"/>
          <w:color w:val="auto"/>
          <w:kern w:val="2"/>
          <w:sz w:val="32"/>
          <w:szCs w:val="32"/>
        </w:rPr>
      </w:pPr>
      <w:r>
        <w:rPr>
          <w:rFonts w:ascii="仿宋_GB2312" w:eastAsia="仿宋_GB2312"/>
          <w:color w:val="auto"/>
          <w:sz w:val="32"/>
          <w:szCs w:val="32"/>
        </w:rPr>
        <w:t>1</w:t>
      </w:r>
      <w:r>
        <w:rPr>
          <w:rFonts w:ascii="仿宋_GB2312" w:eastAsia="仿宋_GB2312" w:cs="Times New Roman"/>
          <w:color w:val="auto"/>
          <w:kern w:val="2"/>
          <w:sz w:val="32"/>
          <w:szCs w:val="32"/>
        </w:rPr>
        <w:t>.</w:t>
      </w:r>
      <w:r>
        <w:rPr>
          <w:rFonts w:hint="eastAsia" w:ascii="仿宋_GB2312" w:eastAsia="仿宋_GB2312" w:cs="Times New Roman"/>
          <w:color w:val="auto"/>
          <w:kern w:val="2"/>
          <w:sz w:val="32"/>
          <w:szCs w:val="32"/>
        </w:rPr>
        <w:t>财政拨款收入：指单位从同级财政部门取得的财政预算资金。</w:t>
      </w:r>
    </w:p>
    <w:p>
      <w:pPr>
        <w:pStyle w:val="33"/>
        <w:spacing w:line="560" w:lineRule="exact"/>
        <w:ind w:firstLine="640" w:firstLineChars="200"/>
        <w:rPr>
          <w:rFonts w:ascii="仿宋_GB2312" w:eastAsia="仿宋_GB2312" w:cs="Times New Roman"/>
          <w:color w:val="auto"/>
          <w:kern w:val="2"/>
          <w:sz w:val="32"/>
          <w:szCs w:val="32"/>
        </w:rPr>
      </w:pPr>
      <w:r>
        <w:rPr>
          <w:rFonts w:hint="eastAsia" w:ascii="仿宋_GB2312" w:eastAsia="仿宋_GB2312" w:cs="Times New Roman"/>
          <w:color w:val="auto"/>
          <w:kern w:val="2"/>
          <w:sz w:val="32"/>
          <w:szCs w:val="32"/>
        </w:rPr>
        <w:t>2</w:t>
      </w:r>
      <w:r>
        <w:rPr>
          <w:rFonts w:ascii="仿宋_GB2312" w:eastAsia="仿宋_GB2312" w:cs="Times New Roman"/>
          <w:color w:val="auto"/>
          <w:kern w:val="2"/>
          <w:sz w:val="32"/>
          <w:szCs w:val="32"/>
        </w:rPr>
        <w:t>.</w:t>
      </w:r>
      <w:r>
        <w:rPr>
          <w:rFonts w:hint="eastAsia" w:ascii="仿宋_GB2312" w:eastAsia="仿宋_GB2312" w:cs="Times New Roman"/>
          <w:color w:val="auto"/>
          <w:kern w:val="2"/>
          <w:sz w:val="32"/>
          <w:szCs w:val="32"/>
        </w:rPr>
        <w:t>年初结转和结余：指以前年度尚未完成、结转到本年按有关规定继续使用的资金。</w:t>
      </w:r>
      <w:r>
        <w:rPr>
          <w:rFonts w:ascii="仿宋_GB2312" w:eastAsia="仿宋_GB2312" w:cs="Times New Roman"/>
          <w:color w:val="auto"/>
          <w:kern w:val="2"/>
          <w:sz w:val="32"/>
          <w:szCs w:val="32"/>
        </w:rPr>
        <w:t xml:space="preserve"> </w:t>
      </w:r>
    </w:p>
    <w:p>
      <w:pPr>
        <w:pStyle w:val="33"/>
        <w:spacing w:line="560" w:lineRule="exact"/>
        <w:ind w:firstLine="640" w:firstLineChars="200"/>
        <w:rPr>
          <w:rFonts w:ascii="仿宋_GB2312" w:eastAsia="仿宋_GB2312" w:cs="Times New Roman"/>
          <w:color w:val="auto"/>
          <w:kern w:val="2"/>
          <w:sz w:val="32"/>
          <w:szCs w:val="32"/>
        </w:rPr>
      </w:pPr>
      <w:r>
        <w:rPr>
          <w:rFonts w:hint="eastAsia" w:ascii="仿宋_GB2312" w:eastAsia="仿宋_GB2312" w:cs="Times New Roman"/>
          <w:color w:val="auto"/>
          <w:kern w:val="2"/>
          <w:sz w:val="32"/>
          <w:szCs w:val="32"/>
        </w:rPr>
        <w:t>3.年末结转和结余：指单位按有关规定结转到下年或以后年度继续使用的资金。</w:t>
      </w:r>
    </w:p>
    <w:p>
      <w:pPr>
        <w:pStyle w:val="16"/>
        <w:keepNext w:val="0"/>
        <w:keepLines w:val="0"/>
        <w:widowControl/>
        <w:suppressLineNumbers w:val="0"/>
        <w:spacing w:before="75" w:beforeAutospacing="0" w:after="75" w:afterAutospacing="0"/>
        <w:ind w:right="0" w:firstLine="640" w:firstLineChars="200"/>
        <w:jc w:val="both"/>
        <w:rPr>
          <w:rFonts w:hint="eastAsia" w:ascii="仿宋_GB2312" w:hAnsi="仿宋_GB2312" w:eastAsia="仿宋_GB2312" w:cs="仿宋_GB2312"/>
          <w:i w:val="0"/>
          <w:caps w:val="0"/>
          <w:smallCaps w:val="0"/>
          <w:color w:val="000000"/>
          <w:spacing w:val="0"/>
          <w:kern w:val="0"/>
          <w:sz w:val="32"/>
          <w:szCs w:val="32"/>
          <w:lang w:val="en-US" w:eastAsia="zh-CN"/>
        </w:rPr>
      </w:pPr>
      <w:r>
        <w:rPr>
          <w:rFonts w:hint="eastAsia" w:ascii="仿宋_GB2312" w:hAnsi="仿宋_GB2312" w:eastAsia="仿宋_GB2312" w:cs="仿宋_GB2312"/>
          <w:i w:val="0"/>
          <w:caps w:val="0"/>
          <w:smallCaps w:val="0"/>
          <w:color w:val="000000"/>
          <w:spacing w:val="0"/>
          <w:kern w:val="0"/>
          <w:sz w:val="32"/>
          <w:szCs w:val="32"/>
          <w:lang w:val="en-US" w:eastAsia="zh-CN"/>
        </w:rPr>
        <w:t>4.一般公共服务支出（类）政府办公厅（室）及相关机构事务（款）事业运行（项）：反映事业单位的基本支出。</w:t>
      </w:r>
    </w:p>
    <w:p>
      <w:pPr>
        <w:pStyle w:val="16"/>
        <w:keepNext w:val="0"/>
        <w:keepLines w:val="0"/>
        <w:widowControl/>
        <w:suppressLineNumbers w:val="0"/>
        <w:spacing w:before="75" w:beforeAutospacing="0" w:after="75" w:afterAutospacing="0"/>
        <w:ind w:right="0" w:firstLine="640" w:firstLineChars="200"/>
        <w:jc w:val="both"/>
        <w:rPr>
          <w:rFonts w:hint="eastAsia" w:ascii="仿宋_GB2312" w:hAnsi="Calibri" w:eastAsia="仿宋_GB2312" w:cs="Times New Roman"/>
          <w:kern w:val="2"/>
          <w:sz w:val="32"/>
          <w:szCs w:val="32"/>
        </w:rPr>
      </w:pPr>
      <w:r>
        <w:rPr>
          <w:rFonts w:hint="eastAsia" w:ascii="仿宋_GB2312" w:hAnsi="仿宋_GB2312" w:eastAsia="仿宋_GB2312" w:cs="仿宋_GB2312"/>
          <w:i w:val="0"/>
          <w:caps w:val="0"/>
          <w:smallCaps w:val="0"/>
          <w:color w:val="000000"/>
          <w:spacing w:val="0"/>
          <w:kern w:val="0"/>
          <w:sz w:val="32"/>
          <w:szCs w:val="32"/>
          <w:lang w:val="en-US" w:eastAsia="zh-CN"/>
        </w:rPr>
        <w:t>5.一般公共服务支出（类）政府办公厅（室）及相关机构事务（款）其他政府办公厅（室）及相关机构事务支出（项）：反映事业单位未单独设置项级科目的其他项目支出。</w:t>
      </w:r>
    </w:p>
    <w:p>
      <w:pPr>
        <w:pStyle w:val="16"/>
        <w:spacing w:before="75" w:beforeAutospacing="0" w:after="75" w:afterAutospacing="0"/>
        <w:ind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rPr>
        <w:t>6</w:t>
      </w:r>
      <w:r>
        <w:rPr>
          <w:rFonts w:hint="eastAsia" w:ascii="仿宋_GB2312" w:hAnsi="Calibri" w:eastAsia="仿宋_GB2312" w:cs="Times New Roman"/>
          <w:kern w:val="2"/>
          <w:sz w:val="32"/>
          <w:szCs w:val="32"/>
        </w:rPr>
        <w:t>.社会保障和就业支出（类）行政事业单位养老支出（款）机关事业单位基本养老保险缴费支出（项）：反映机关事业单位实施养老保险制度由单位实际缴纳的基本养老保险支出。</w:t>
      </w:r>
    </w:p>
    <w:p>
      <w:pPr>
        <w:pStyle w:val="16"/>
        <w:spacing w:before="75" w:beforeAutospacing="0" w:after="75" w:afterAutospacing="0"/>
        <w:ind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rPr>
        <w:t>7.</w:t>
      </w:r>
      <w:r>
        <w:rPr>
          <w:rFonts w:hint="eastAsia" w:ascii="仿宋_GB2312" w:hAnsi="Calibri" w:eastAsia="仿宋_GB2312" w:cs="Times New Roman"/>
          <w:kern w:val="2"/>
          <w:sz w:val="32"/>
          <w:szCs w:val="32"/>
        </w:rPr>
        <w:t>社会保障和就业支出（类）行政事业单位养老支出（款）职业年金缴费（项）：反映机关事业单位实施养老保险制度由单位实际缴纳的</w:t>
      </w:r>
      <w:r>
        <w:rPr>
          <w:rFonts w:hint="eastAsia" w:ascii="仿宋_GB2312" w:hAnsi="Calibri" w:eastAsia="仿宋_GB2312" w:cs="Times New Roman"/>
          <w:kern w:val="2"/>
          <w:sz w:val="32"/>
          <w:szCs w:val="32"/>
          <w:lang w:eastAsia="zh-CN"/>
        </w:rPr>
        <w:t>职业年金</w:t>
      </w:r>
      <w:r>
        <w:rPr>
          <w:rFonts w:hint="eastAsia" w:ascii="仿宋_GB2312" w:hAnsi="Calibri" w:eastAsia="仿宋_GB2312" w:cs="Times New Roman"/>
          <w:kern w:val="2"/>
          <w:sz w:val="32"/>
          <w:szCs w:val="32"/>
        </w:rPr>
        <w:t>支出</w:t>
      </w:r>
      <w:r>
        <w:rPr>
          <w:rFonts w:hint="eastAsia" w:ascii="仿宋_GB2312" w:hAnsi="Calibri" w:eastAsia="仿宋_GB2312" w:cs="Times New Roman"/>
          <w:kern w:val="2"/>
          <w:sz w:val="32"/>
          <w:szCs w:val="32"/>
          <w:lang w:eastAsia="zh-CN"/>
        </w:rPr>
        <w:t>（含职业年金补记支出）</w:t>
      </w:r>
      <w:r>
        <w:rPr>
          <w:rFonts w:hint="eastAsia" w:ascii="仿宋_GB2312" w:hAnsi="Calibri" w:eastAsia="仿宋_GB2312" w:cs="Times New Roman"/>
          <w:kern w:val="2"/>
          <w:sz w:val="32"/>
          <w:szCs w:val="32"/>
        </w:rPr>
        <w:t>。</w:t>
      </w:r>
    </w:p>
    <w:p>
      <w:pPr>
        <w:pStyle w:val="16"/>
        <w:spacing w:before="75" w:beforeAutospacing="0" w:after="75" w:afterAutospacing="0"/>
        <w:ind w:firstLine="640" w:firstLineChars="200"/>
        <w:jc w:val="both"/>
        <w:rPr>
          <w:rFonts w:hint="eastAsia" w:ascii="仿宋_GB2312" w:hAnsi="Calibri" w:eastAsia="仿宋_GB2312" w:cs="Times New Roman"/>
          <w:kern w:val="2"/>
          <w:sz w:val="32"/>
          <w:szCs w:val="32"/>
        </w:rPr>
      </w:pPr>
    </w:p>
    <w:p>
      <w:pPr>
        <w:pStyle w:val="16"/>
        <w:spacing w:before="75" w:beforeAutospacing="0" w:after="75" w:afterAutospacing="0"/>
        <w:ind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rPr>
        <w:t>8</w:t>
      </w:r>
      <w:r>
        <w:rPr>
          <w:rFonts w:hint="eastAsia" w:ascii="仿宋_GB2312" w:hAnsi="Calibri" w:eastAsia="仿宋_GB2312" w:cs="Times New Roman"/>
          <w:kern w:val="2"/>
          <w:sz w:val="32"/>
          <w:szCs w:val="32"/>
        </w:rPr>
        <w:t>.社会保障和就业支出（类）行政事业单位养老支出（款）其他社会保障和就业支出（项）：反映</w:t>
      </w:r>
      <w:r>
        <w:rPr>
          <w:rFonts w:hint="eastAsia" w:ascii="仿宋_GB2312" w:hAnsi="Calibri" w:eastAsia="仿宋_GB2312" w:cs="Times New Roman"/>
          <w:kern w:val="2"/>
          <w:sz w:val="32"/>
          <w:szCs w:val="32"/>
          <w:lang w:eastAsia="zh-CN"/>
        </w:rPr>
        <w:t>其他用于社会保障和就业方面的支出</w:t>
      </w:r>
      <w:r>
        <w:rPr>
          <w:rFonts w:hint="eastAsia" w:ascii="仿宋_GB2312" w:hAnsi="Calibri" w:eastAsia="仿宋_GB2312" w:cs="Times New Roman"/>
          <w:kern w:val="2"/>
          <w:sz w:val="32"/>
          <w:szCs w:val="32"/>
        </w:rPr>
        <w:t>。</w:t>
      </w:r>
    </w:p>
    <w:p>
      <w:pPr>
        <w:pStyle w:val="16"/>
        <w:keepNext w:val="0"/>
        <w:keepLines w:val="0"/>
        <w:widowControl/>
        <w:suppressLineNumbers w:val="0"/>
        <w:spacing w:before="75" w:beforeAutospacing="0" w:after="75" w:afterAutospacing="0"/>
        <w:ind w:right="0" w:firstLine="640" w:firstLineChars="200"/>
        <w:jc w:val="both"/>
        <w:rPr>
          <w:rFonts w:hint="eastAsia" w:ascii="仿宋_GB2312" w:hAnsi="Calibri" w:eastAsia="仿宋_GB2312" w:cs="Times New Roman"/>
          <w:kern w:val="2"/>
          <w:sz w:val="32"/>
          <w:szCs w:val="32"/>
        </w:rPr>
      </w:pPr>
      <w:r>
        <w:rPr>
          <w:rFonts w:hint="eastAsia" w:ascii="仿宋_GB2312" w:hAnsi="仿宋_GB2312" w:eastAsia="仿宋_GB2312" w:cs="仿宋_GB2312"/>
          <w:i w:val="0"/>
          <w:caps w:val="0"/>
          <w:smallCaps w:val="0"/>
          <w:color w:val="000000"/>
          <w:spacing w:val="0"/>
          <w:kern w:val="0"/>
          <w:sz w:val="32"/>
          <w:szCs w:val="32"/>
          <w:lang w:val="en-US" w:eastAsia="zh-CN"/>
        </w:rPr>
        <w:t>9.卫生健康支出（类）行政事业单位医疗（款）事业单位医疗（项）：反映财政部门安排的事业单位基本医疗保险缴费经费，未参加医疗保险的行政单位的公费医疗经费，按国家规定享受离休人员待遇人员的医疗经费。</w:t>
      </w:r>
    </w:p>
    <w:p>
      <w:pPr>
        <w:pStyle w:val="16"/>
        <w:spacing w:before="75" w:beforeAutospacing="0" w:after="75" w:afterAutospacing="0"/>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1</w:t>
      </w:r>
      <w:r>
        <w:rPr>
          <w:rFonts w:hint="eastAsia" w:ascii="仿宋_GB2312" w:hAnsi="Calibri" w:eastAsia="仿宋_GB2312" w:cs="Times New Roman"/>
          <w:kern w:val="2"/>
          <w:sz w:val="32"/>
          <w:szCs w:val="32"/>
          <w:lang w:val="en-US" w:eastAsia="zh-CN"/>
        </w:rPr>
        <w:t>0</w:t>
      </w:r>
      <w:r>
        <w:rPr>
          <w:rFonts w:hint="eastAsia" w:ascii="仿宋_GB2312" w:hAnsi="Calibri" w:eastAsia="仿宋_GB2312" w:cs="Times New Roman"/>
          <w:kern w:val="2"/>
          <w:sz w:val="32"/>
          <w:szCs w:val="32"/>
        </w:rPr>
        <w:t>.住房保障支出（类）住房改革支出（款）住房公积金（项）：反映行政事业单位按人力资源和社会保障部、财政部规定的基本工资和津贴补贴以及规定比例为职工缴纳的住房公积金。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3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
        <w:bidi w:val="0"/>
        <w:jc w:val="center"/>
        <w:rPr>
          <w:rFonts w:hint="eastAsia" w:ascii="Times New Roman" w:hAnsi="Times New Roman" w:eastAsia="黑体"/>
          <w:color w:val="auto"/>
          <w:sz w:val="44"/>
          <w:szCs w:val="44"/>
          <w:highlight w:val="none"/>
        </w:rPr>
      </w:pPr>
      <w:bookmarkStart w:id="74"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75" w:name="_Toc32120"/>
      <w:bookmarkStart w:id="7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75"/>
      <w:bookmarkEnd w:id="76"/>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hint="eastAsia" w:ascii="黑体" w:hAnsi="黑体" w:eastAsia="黑体"/>
          <w:color w:val="FF0000"/>
          <w:sz w:val="44"/>
          <w:szCs w:val="44"/>
        </w:rPr>
      </w:pPr>
      <w:bookmarkStart w:id="77" w:name="_Toc2093675449_WPSOffice_Level2"/>
      <w:bookmarkStart w:id="78" w:name="_Toc8616"/>
      <w:bookmarkStart w:id="79" w:name="_Toc176427867"/>
      <w:r>
        <w:rPr>
          <w:rFonts w:hint="eastAsia" w:ascii="仿宋_GB2312" w:hAnsi="Calibri" w:eastAsia="仿宋_GB2312" w:cs="仿宋"/>
          <w:color w:val="auto"/>
          <w:kern w:val="0"/>
          <w:sz w:val="32"/>
          <w:szCs w:val="32"/>
          <w:lang w:val="en-US" w:eastAsia="zh-CN" w:bidi="ar-SA"/>
        </w:rPr>
        <w:t>部门预算项目支出绩效自评表（2024年度）</w:t>
      </w:r>
      <w:bookmarkEnd w:id="77"/>
      <w:bookmarkEnd w:id="78"/>
      <w:bookmarkEnd w:id="79"/>
    </w:p>
    <w:p>
      <w:pPr>
        <w:pStyle w:val="2"/>
        <w:rPr>
          <w:rFonts w:hint="eastAsia"/>
          <w:lang w:eastAsia="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sectPr>
          <w:footerReference r:id="rId7" w:type="default"/>
          <w:pgSz w:w="11906" w:h="16838"/>
          <w:pgMar w:top="1440" w:right="1800" w:bottom="1440" w:left="1800" w:header="851" w:footer="992" w:gutter="0"/>
          <w:pgNumType w:fmt="numberInDash" w:start="1"/>
          <w:cols w:space="425" w:num="1"/>
          <w:docGrid w:type="lines" w:linePitch="312" w:charSpace="0"/>
        </w:sectPr>
      </w:pPr>
    </w:p>
    <w:tbl>
      <w:tblPr>
        <w:tblStyle w:val="17"/>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2040"/>
        <w:gridCol w:w="7"/>
        <w:gridCol w:w="1752"/>
        <w:gridCol w:w="12"/>
        <w:gridCol w:w="2240"/>
        <w:gridCol w:w="19"/>
        <w:gridCol w:w="504"/>
        <w:gridCol w:w="20"/>
        <w:gridCol w:w="1648"/>
        <w:gridCol w:w="26"/>
        <w:gridCol w:w="497"/>
        <w:gridCol w:w="27"/>
        <w:gridCol w:w="1066"/>
        <w:gridCol w:w="28"/>
        <w:gridCol w:w="482"/>
        <w:gridCol w:w="28"/>
        <w:gridCol w:w="486"/>
        <w:gridCol w:w="8"/>
        <w:gridCol w:w="2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bookmarkStart w:id="80" w:name="_Toc15396618"/>
            <w:r>
              <w:rPr>
                <w:rFonts w:hint="default"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8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51080023R000009698970-单位年度考核奖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广元市政务服务和数据局部门</w:t>
            </w:r>
          </w:p>
        </w:tc>
        <w:tc>
          <w:tcPr>
            <w:tcW w:w="1093"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3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单位年度考核奖及时发放、足额发放。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8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严格执行相关政策，及时发放、足额发放单位年度考核奖。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18.99</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33.22</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33.22</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2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r>
              <w:rPr>
                <w:rFonts w:hint="eastAsia" w:ascii="黑体" w:hAnsi="黑体" w:eastAsia="黑体" w:cs="黑体"/>
                <w:i/>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18.99</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33.22</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33.22</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60</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4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该项目自评总分100分，该项目顺利实施，保障了职工的合法权益，调动了职工的工作积极性。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r>
              <w:rPr>
                <w:rFonts w:hint="eastAsia" w:ascii="黑体" w:hAnsi="黑体" w:eastAsia="黑体" w:cs="黑体"/>
                <w:i w:val="0"/>
                <w:color w:val="000000"/>
                <w:kern w:val="0"/>
                <w:sz w:val="18"/>
                <w:szCs w:val="18"/>
                <w:u w:val="none"/>
                <w:lang w:val="en-US" w:eastAsia="zh-CN" w:bidi="ar"/>
              </w:rPr>
              <w:t>袁玲</w:t>
            </w:r>
          </w:p>
        </w:tc>
        <w:tc>
          <w:tcPr>
            <w:tcW w:w="685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r>
              <w:rPr>
                <w:rFonts w:hint="eastAsia" w:ascii="黑体" w:hAnsi="黑体" w:eastAsia="黑体" w:cs="黑体"/>
                <w:i w:val="0"/>
                <w:color w:val="000000"/>
                <w:kern w:val="0"/>
                <w:sz w:val="18"/>
                <w:szCs w:val="18"/>
                <w:u w:val="none"/>
                <w:lang w:val="en-US" w:eastAsia="zh-CN" w:bidi="ar"/>
              </w:rPr>
              <w:t>王洪彬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04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759"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252"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23"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668"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23"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093"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10"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22" w:type="dxa"/>
            <w:gridSpan w:val="3"/>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53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b/>
                <w:i w:val="0"/>
                <w:color w:val="000000"/>
                <w:sz w:val="30"/>
                <w:szCs w:val="30"/>
                <w:u w:val="none"/>
              </w:rPr>
            </w:pPr>
            <w:r>
              <w:rPr>
                <w:rFonts w:hint="default"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8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51080024R000010823060-单位缴费（在职人员五险两金）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广元市政务服务和数据局部门</w:t>
            </w:r>
          </w:p>
        </w:tc>
        <w:tc>
          <w:tcPr>
            <w:tcW w:w="1093"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3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按月、及时足额缴纳职工的五险两金。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8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按月、及时足额缴纳职工的五险两金。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82.25</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92.09</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92.09</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2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r>
              <w:rPr>
                <w:rFonts w:hint="eastAsia" w:ascii="黑体" w:hAnsi="黑体" w:eastAsia="黑体" w:cs="黑体"/>
                <w:i/>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82.25</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92.09</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92.09</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60</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4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该项目自评总分100分，该项目顺利实施，保障了职工的合法权益，调动了职工的工作积极性。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r>
              <w:rPr>
                <w:rFonts w:hint="eastAsia" w:ascii="黑体" w:hAnsi="黑体" w:eastAsia="黑体" w:cs="黑体"/>
                <w:i w:val="0"/>
                <w:color w:val="000000"/>
                <w:kern w:val="0"/>
                <w:sz w:val="18"/>
                <w:szCs w:val="18"/>
                <w:u w:val="none"/>
                <w:lang w:val="en-US" w:eastAsia="zh-CN" w:bidi="ar"/>
              </w:rPr>
              <w:t>袁玲</w:t>
            </w:r>
          </w:p>
        </w:tc>
        <w:tc>
          <w:tcPr>
            <w:tcW w:w="685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r>
              <w:rPr>
                <w:rFonts w:hint="eastAsia" w:ascii="黑体" w:hAnsi="黑体" w:eastAsia="黑体" w:cs="黑体"/>
                <w:i w:val="0"/>
                <w:color w:val="000000"/>
                <w:kern w:val="0"/>
                <w:sz w:val="18"/>
                <w:szCs w:val="18"/>
                <w:u w:val="none"/>
                <w:lang w:val="en-US" w:eastAsia="zh-CN" w:bidi="ar"/>
              </w:rPr>
              <w:t>王洪彬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04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759"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252"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23"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668"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23"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093"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10"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22" w:type="dxa"/>
            <w:gridSpan w:val="3"/>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53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b/>
                <w:i w:val="0"/>
                <w:color w:val="000000"/>
                <w:sz w:val="30"/>
                <w:szCs w:val="30"/>
                <w:u w:val="none"/>
              </w:rPr>
            </w:pPr>
            <w:r>
              <w:rPr>
                <w:rFonts w:hint="default"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8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51080024R000010823428-事业人员工资性支出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广元市政务服务和数据局部门</w:t>
            </w:r>
          </w:p>
        </w:tc>
        <w:tc>
          <w:tcPr>
            <w:tcW w:w="1093"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3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sz w:val="18"/>
                <w:szCs w:val="18"/>
                <w:u w:val="none"/>
                <w:lang w:val="en-US" w:eastAsia="zh-CN"/>
              </w:rPr>
              <w:t>格执行相关政策，保障职工工资及时发放、足额发放。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8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　按月及时、足额发放职工工资。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159.90</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153.96</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153.96</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2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r>
              <w:rPr>
                <w:rFonts w:hint="eastAsia" w:ascii="黑体" w:hAnsi="黑体" w:eastAsia="黑体" w:cs="黑体"/>
                <w:i/>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159.90</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153.96</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153.96</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60</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4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该项目自评总分100分，该项目顺利实施，保障了职工的合法权益，调动了职工的工作积极性。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r>
              <w:rPr>
                <w:rFonts w:hint="eastAsia" w:ascii="黑体" w:hAnsi="黑体" w:eastAsia="黑体" w:cs="黑体"/>
                <w:i w:val="0"/>
                <w:color w:val="000000"/>
                <w:kern w:val="0"/>
                <w:sz w:val="18"/>
                <w:szCs w:val="18"/>
                <w:u w:val="none"/>
                <w:lang w:val="en-US" w:eastAsia="zh-CN" w:bidi="ar"/>
              </w:rPr>
              <w:t>袁玲</w:t>
            </w:r>
          </w:p>
        </w:tc>
        <w:tc>
          <w:tcPr>
            <w:tcW w:w="685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r>
              <w:rPr>
                <w:rFonts w:hint="eastAsia" w:ascii="黑体" w:hAnsi="黑体" w:eastAsia="黑体" w:cs="黑体"/>
                <w:i w:val="0"/>
                <w:color w:val="000000"/>
                <w:kern w:val="0"/>
                <w:sz w:val="18"/>
                <w:szCs w:val="18"/>
                <w:u w:val="none"/>
                <w:lang w:val="en-US" w:eastAsia="zh-CN" w:bidi="ar"/>
              </w:rPr>
              <w:t>王洪彬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04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759"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252"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23"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668"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23"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093"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10"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22" w:type="dxa"/>
            <w:gridSpan w:val="3"/>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53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b/>
                <w:i w:val="0"/>
                <w:color w:val="000000"/>
                <w:sz w:val="30"/>
                <w:szCs w:val="30"/>
                <w:u w:val="none"/>
              </w:rPr>
            </w:pPr>
            <w:r>
              <w:rPr>
                <w:rFonts w:hint="default"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8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51080024R000010824175-事业人员基础绩效奖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广元市政务服务和数据局部门</w:t>
            </w:r>
          </w:p>
        </w:tc>
        <w:tc>
          <w:tcPr>
            <w:tcW w:w="1093"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3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sz w:val="18"/>
                <w:szCs w:val="18"/>
                <w:u w:val="none"/>
                <w:lang w:val="en-US" w:eastAsia="zh-CN"/>
              </w:rPr>
              <w:t>严格执行相关政策，基础绩效奖及时发放、足额发放。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8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hint="default" w:ascii="黑体" w:hAnsi="黑体" w:eastAsia="黑体" w:cs="黑体"/>
                <w:i w:val="0"/>
                <w:color w:val="000000"/>
                <w:sz w:val="18"/>
                <w:szCs w:val="18"/>
                <w:u w:val="none"/>
                <w:lang w:val="en-US" w:eastAsia="zh-CN"/>
              </w:rPr>
              <w:t>严格执行相关政策，基础绩效奖及时发放、足额发放</w:t>
            </w:r>
            <w:r>
              <w:rPr>
                <w:rFonts w:hint="eastAsia" w:ascii="黑体" w:hAnsi="黑体" w:eastAsia="黑体" w:cs="黑体"/>
                <w:i w:val="0"/>
                <w:color w:val="00000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74.82</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72.68</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72.68</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2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r>
              <w:rPr>
                <w:rFonts w:hint="eastAsia" w:ascii="黑体" w:hAnsi="黑体" w:eastAsia="黑体" w:cs="黑体"/>
                <w:i/>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74.82</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72.68</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72.68</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60</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4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该项目自评总分100分，该项目顺利实施，保障了职工的合法权益，调动了职工的工作积极性。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r>
              <w:rPr>
                <w:rFonts w:hint="eastAsia" w:ascii="黑体" w:hAnsi="黑体" w:eastAsia="黑体" w:cs="黑体"/>
                <w:i w:val="0"/>
                <w:color w:val="000000"/>
                <w:kern w:val="0"/>
                <w:sz w:val="18"/>
                <w:szCs w:val="18"/>
                <w:u w:val="none"/>
                <w:lang w:val="en-US" w:eastAsia="zh-CN" w:bidi="ar"/>
              </w:rPr>
              <w:t>袁玲</w:t>
            </w:r>
          </w:p>
        </w:tc>
        <w:tc>
          <w:tcPr>
            <w:tcW w:w="685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r>
              <w:rPr>
                <w:rFonts w:hint="eastAsia" w:ascii="黑体" w:hAnsi="黑体" w:eastAsia="黑体" w:cs="黑体"/>
                <w:i w:val="0"/>
                <w:color w:val="000000"/>
                <w:kern w:val="0"/>
                <w:sz w:val="18"/>
                <w:szCs w:val="18"/>
                <w:u w:val="none"/>
                <w:lang w:val="en-US" w:eastAsia="zh-CN" w:bidi="ar"/>
              </w:rPr>
              <w:t>王洪彬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04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759"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252"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23"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668"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23"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093"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10"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22" w:type="dxa"/>
            <w:gridSpan w:val="3"/>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53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b/>
                <w:i w:val="0"/>
                <w:color w:val="000000"/>
                <w:sz w:val="30"/>
                <w:szCs w:val="30"/>
                <w:u w:val="none"/>
              </w:rPr>
            </w:pPr>
            <w:r>
              <w:rPr>
                <w:rFonts w:hint="default"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8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51080024R000010825320-退休人员生活补（助）贴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广元市政务服务和数据局部门</w:t>
            </w:r>
          </w:p>
        </w:tc>
        <w:tc>
          <w:tcPr>
            <w:tcW w:w="1093"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3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sz w:val="18"/>
                <w:szCs w:val="18"/>
                <w:u w:val="none"/>
                <w:lang w:val="en-US" w:eastAsia="zh-CN"/>
              </w:rPr>
              <w:t>严格执行相关政策，</w:t>
            </w:r>
            <w:r>
              <w:rPr>
                <w:rFonts w:hint="eastAsia" w:ascii="黑体" w:hAnsi="黑体" w:eastAsia="黑体" w:cs="黑体"/>
                <w:i w:val="0"/>
                <w:color w:val="000000"/>
                <w:sz w:val="18"/>
                <w:szCs w:val="18"/>
                <w:u w:val="none"/>
                <w:lang w:val="en-US" w:eastAsia="zh-CN"/>
              </w:rPr>
              <w:t>退休人员</w:t>
            </w:r>
            <w:r>
              <w:rPr>
                <w:rFonts w:hint="default" w:ascii="黑体" w:hAnsi="黑体" w:eastAsia="黑体" w:cs="黑体"/>
                <w:i w:val="0"/>
                <w:color w:val="000000"/>
                <w:sz w:val="18"/>
                <w:szCs w:val="18"/>
                <w:u w:val="none"/>
                <w:lang w:val="en-US" w:eastAsia="zh-CN"/>
              </w:rPr>
              <w:t>生活补助及时发放、足额发放。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8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hint="default" w:ascii="黑体" w:hAnsi="黑体" w:eastAsia="黑体" w:cs="黑体"/>
                <w:i w:val="0"/>
                <w:color w:val="000000"/>
                <w:sz w:val="18"/>
                <w:szCs w:val="18"/>
                <w:u w:val="none"/>
                <w:lang w:val="en-US" w:eastAsia="zh-CN"/>
              </w:rPr>
              <w:t>严格执行相关政策，</w:t>
            </w:r>
            <w:r>
              <w:rPr>
                <w:rFonts w:hint="eastAsia" w:ascii="黑体" w:hAnsi="黑体" w:eastAsia="黑体" w:cs="黑体"/>
                <w:i w:val="0"/>
                <w:color w:val="000000"/>
                <w:sz w:val="18"/>
                <w:szCs w:val="18"/>
                <w:u w:val="none"/>
                <w:lang w:val="en-US" w:eastAsia="zh-CN"/>
              </w:rPr>
              <w:t>退休人员</w:t>
            </w:r>
            <w:r>
              <w:rPr>
                <w:rFonts w:hint="default" w:ascii="黑体" w:hAnsi="黑体" w:eastAsia="黑体" w:cs="黑体"/>
                <w:i w:val="0"/>
                <w:color w:val="000000"/>
                <w:sz w:val="18"/>
                <w:szCs w:val="18"/>
                <w:u w:val="none"/>
                <w:lang w:val="en-US" w:eastAsia="zh-CN"/>
              </w:rPr>
              <w:t>生活补助及时发放、足额发放。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5.04</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5.04</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5.04</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2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r>
              <w:rPr>
                <w:rFonts w:hint="eastAsia" w:ascii="黑体" w:hAnsi="黑体" w:eastAsia="黑体" w:cs="黑体"/>
                <w:i/>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5.04</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5.04</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5.04</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60</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4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该项目自评总分100分，该项目顺利实施，保障了</w:t>
            </w:r>
            <w:r>
              <w:rPr>
                <w:rFonts w:hint="eastAsia" w:ascii="微软雅黑" w:hAnsi="微软雅黑" w:eastAsia="微软雅黑" w:cs="微软雅黑"/>
                <w:i w:val="0"/>
                <w:color w:val="000000"/>
                <w:kern w:val="0"/>
                <w:sz w:val="16"/>
                <w:szCs w:val="16"/>
                <w:u w:val="none"/>
                <w:lang w:val="en-US" w:eastAsia="zh-CN" w:bidi="ar"/>
              </w:rPr>
              <w:t>退休</w:t>
            </w:r>
            <w:r>
              <w:rPr>
                <w:rFonts w:hint="default" w:ascii="微软雅黑" w:hAnsi="微软雅黑" w:eastAsia="微软雅黑" w:cs="微软雅黑"/>
                <w:i w:val="0"/>
                <w:color w:val="000000"/>
                <w:kern w:val="0"/>
                <w:sz w:val="16"/>
                <w:szCs w:val="16"/>
                <w:u w:val="none"/>
                <w:lang w:val="en-US" w:eastAsia="zh-CN" w:bidi="ar"/>
              </w:rPr>
              <w:t>职工的合法权益</w:t>
            </w:r>
            <w:r>
              <w:rPr>
                <w:rFonts w:hint="eastAsia" w:ascii="微软雅黑" w:hAnsi="微软雅黑" w:eastAsia="微软雅黑" w:cs="微软雅黑"/>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r>
              <w:rPr>
                <w:rFonts w:hint="eastAsia" w:ascii="黑体" w:hAnsi="黑体" w:eastAsia="黑体" w:cs="黑体"/>
                <w:i w:val="0"/>
                <w:color w:val="000000"/>
                <w:kern w:val="0"/>
                <w:sz w:val="18"/>
                <w:szCs w:val="18"/>
                <w:u w:val="none"/>
                <w:lang w:val="en-US" w:eastAsia="zh-CN" w:bidi="ar"/>
              </w:rPr>
              <w:t>袁玲</w:t>
            </w:r>
          </w:p>
        </w:tc>
        <w:tc>
          <w:tcPr>
            <w:tcW w:w="685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r>
              <w:rPr>
                <w:rFonts w:hint="eastAsia" w:ascii="黑体" w:hAnsi="黑体" w:eastAsia="黑体" w:cs="黑体"/>
                <w:i w:val="0"/>
                <w:color w:val="000000"/>
                <w:kern w:val="0"/>
                <w:sz w:val="18"/>
                <w:szCs w:val="18"/>
                <w:u w:val="none"/>
                <w:lang w:val="en-US" w:eastAsia="zh-CN" w:bidi="ar"/>
              </w:rPr>
              <w:t>王洪彬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default"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51080022Y000000267568-定额公用经费（事业）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广元市政务服务和数据局部门</w:t>
            </w:r>
          </w:p>
        </w:tc>
        <w:tc>
          <w:tcPr>
            <w:tcW w:w="1094"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3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7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46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sz w:val="18"/>
                <w:szCs w:val="18"/>
                <w:u w:val="none"/>
                <w:lang w:val="en-US" w:eastAsia="zh-CN"/>
              </w:rPr>
              <w:t>合理编制预算，严格执行预算，保障了单位日常运转。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合理编制预算，严格执行预算，保障了单位日常运转。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34.50</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31.24</w:t>
            </w: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30.70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98.28%</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25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r>
              <w:rPr>
                <w:rFonts w:hint="eastAsia" w:ascii="黑体" w:hAnsi="黑体" w:eastAsia="黑体" w:cs="黑体"/>
                <w:i/>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34.50</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31.24</w:t>
            </w: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30.70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98.28%</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7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该项目自评总分100分，该项目顺利实施，保障了单位的日常运转。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r>
              <w:rPr>
                <w:rFonts w:hint="eastAsia" w:ascii="黑体" w:hAnsi="黑体" w:eastAsia="黑体" w:cs="黑体"/>
                <w:i w:val="0"/>
                <w:color w:val="000000"/>
                <w:kern w:val="0"/>
                <w:sz w:val="18"/>
                <w:szCs w:val="18"/>
                <w:u w:val="none"/>
                <w:lang w:val="en-US" w:eastAsia="zh-CN" w:bidi="ar"/>
              </w:rPr>
              <w:t>袁玲</w:t>
            </w:r>
          </w:p>
        </w:tc>
        <w:tc>
          <w:tcPr>
            <w:tcW w:w="68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r>
              <w:rPr>
                <w:rFonts w:hint="eastAsia" w:ascii="黑体" w:hAnsi="黑体" w:eastAsia="黑体" w:cs="黑体"/>
                <w:i w:val="0"/>
                <w:color w:val="000000"/>
                <w:kern w:val="0"/>
                <w:sz w:val="18"/>
                <w:szCs w:val="18"/>
                <w:u w:val="none"/>
                <w:lang w:val="en-US" w:eastAsia="zh-CN" w:bidi="ar"/>
              </w:rPr>
              <w:t>王洪彬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047"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764"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259"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24"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674"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24"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094"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10"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544"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b/>
                <w:i w:val="0"/>
                <w:color w:val="000000"/>
                <w:sz w:val="30"/>
                <w:szCs w:val="30"/>
                <w:u w:val="none"/>
              </w:rPr>
            </w:pPr>
            <w:r>
              <w:rPr>
                <w:rFonts w:hint="default"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51080024Y000010826991-公用经费1（福利费、工会经费）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广元市政务服务和数据局部门</w:t>
            </w:r>
          </w:p>
        </w:tc>
        <w:tc>
          <w:tcPr>
            <w:tcW w:w="1094"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3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7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46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w:t>
            </w: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25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r>
              <w:rPr>
                <w:rFonts w:hint="eastAsia" w:ascii="黑体" w:hAnsi="黑体" w:eastAsia="黑体" w:cs="黑体"/>
                <w:i/>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w:t>
            </w: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7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该项目自评总分100分，该项目顺利实施，保障了单位的日常运转。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r>
              <w:rPr>
                <w:rFonts w:hint="eastAsia" w:ascii="黑体" w:hAnsi="黑体" w:eastAsia="黑体" w:cs="黑体"/>
                <w:i w:val="0"/>
                <w:color w:val="000000"/>
                <w:kern w:val="0"/>
                <w:sz w:val="18"/>
                <w:szCs w:val="18"/>
                <w:u w:val="none"/>
                <w:lang w:val="en-US" w:eastAsia="zh-CN" w:bidi="ar"/>
              </w:rPr>
              <w:t>袁玲</w:t>
            </w:r>
          </w:p>
        </w:tc>
        <w:tc>
          <w:tcPr>
            <w:tcW w:w="68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r>
              <w:rPr>
                <w:rFonts w:hint="eastAsia" w:ascii="黑体" w:hAnsi="黑体" w:eastAsia="黑体" w:cs="黑体"/>
                <w:i w:val="0"/>
                <w:color w:val="000000"/>
                <w:kern w:val="0"/>
                <w:sz w:val="18"/>
                <w:szCs w:val="18"/>
                <w:u w:val="none"/>
                <w:lang w:val="en-US" w:eastAsia="zh-CN" w:bidi="ar"/>
              </w:rPr>
              <w:t>王洪彬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047"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764"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259"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24"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674"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24"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094"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510"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544" w:type="dxa"/>
            <w:gridSpan w:val="2"/>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b/>
                <w:i w:val="0"/>
                <w:color w:val="000000"/>
                <w:sz w:val="30"/>
                <w:szCs w:val="30"/>
                <w:u w:val="none"/>
              </w:rPr>
            </w:pPr>
            <w:r>
              <w:rPr>
                <w:rFonts w:hint="default"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51080024Y000010829846-公用经费2（公车补贴、党建、退休活动）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广元市政务服务和数据局部门</w:t>
            </w:r>
          </w:p>
        </w:tc>
        <w:tc>
          <w:tcPr>
            <w:tcW w:w="1094"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3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7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46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3.49</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1.99</w:t>
            </w: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1.99</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25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r>
              <w:rPr>
                <w:rFonts w:hint="eastAsia" w:ascii="黑体" w:hAnsi="黑体" w:eastAsia="黑体" w:cs="黑体"/>
                <w:i/>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3.49</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1.99</w:t>
            </w: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1.99</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7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该项目自评总分100分，该项目顺利实施，保障了单位的日常运转。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r>
              <w:rPr>
                <w:rFonts w:hint="eastAsia" w:ascii="黑体" w:hAnsi="黑体" w:eastAsia="黑体" w:cs="黑体"/>
                <w:i w:val="0"/>
                <w:color w:val="000000"/>
                <w:kern w:val="0"/>
                <w:sz w:val="18"/>
                <w:szCs w:val="18"/>
                <w:u w:val="none"/>
                <w:lang w:val="en-US" w:eastAsia="zh-CN" w:bidi="ar"/>
              </w:rPr>
              <w:t>袁玲</w:t>
            </w:r>
          </w:p>
        </w:tc>
        <w:tc>
          <w:tcPr>
            <w:tcW w:w="683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r>
              <w:rPr>
                <w:rFonts w:hint="eastAsia" w:ascii="黑体" w:hAnsi="黑体" w:eastAsia="黑体" w:cs="黑体"/>
                <w:i w:val="0"/>
                <w:color w:val="000000"/>
                <w:kern w:val="0"/>
                <w:sz w:val="18"/>
                <w:szCs w:val="18"/>
                <w:u w:val="none"/>
                <w:lang w:val="en-US" w:eastAsia="zh-CN" w:bidi="ar"/>
              </w:rPr>
              <w:t>王洪彬</w:t>
            </w:r>
          </w:p>
        </w:tc>
      </w:tr>
    </w:tbl>
    <w:p>
      <w:pPr>
        <w:pStyle w:val="2"/>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tbl>
      <w:tblPr>
        <w:tblStyle w:val="17"/>
        <w:tblW w:w="14597" w:type="dxa"/>
        <w:tblInd w:w="96" w:type="dxa"/>
        <w:tblLayout w:type="autofit"/>
        <w:tblCellMar>
          <w:top w:w="0" w:type="dxa"/>
          <w:left w:w="108" w:type="dxa"/>
          <w:bottom w:w="0" w:type="dxa"/>
          <w:right w:w="108" w:type="dxa"/>
        </w:tblCellMar>
      </w:tblPr>
      <w:tblGrid>
        <w:gridCol w:w="801"/>
        <w:gridCol w:w="2025"/>
        <w:gridCol w:w="1702"/>
        <w:gridCol w:w="2224"/>
        <w:gridCol w:w="610"/>
        <w:gridCol w:w="1207"/>
        <w:gridCol w:w="520"/>
        <w:gridCol w:w="1272"/>
        <w:gridCol w:w="820"/>
        <w:gridCol w:w="897"/>
        <w:gridCol w:w="2519"/>
      </w:tblGrid>
      <w:tr>
        <w:tblPrEx>
          <w:tblCellMar>
            <w:top w:w="0" w:type="dxa"/>
            <w:left w:w="108" w:type="dxa"/>
            <w:bottom w:w="0" w:type="dxa"/>
            <w:right w:w="108" w:type="dxa"/>
          </w:tblCellMar>
        </w:tblPrEx>
        <w:trPr>
          <w:trHeight w:val="904" w:hRule="atLeast"/>
        </w:trPr>
        <w:tc>
          <w:tcPr>
            <w:tcW w:w="14597"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320" w:hRule="atLeast"/>
        </w:trPr>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项目名称</w:t>
            </w:r>
          </w:p>
        </w:tc>
        <w:tc>
          <w:tcPr>
            <w:tcW w:w="1177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51080021T000000052243-网络运行维护费</w:t>
            </w:r>
          </w:p>
        </w:tc>
      </w:tr>
      <w:tr>
        <w:tblPrEx>
          <w:tblCellMar>
            <w:top w:w="0" w:type="dxa"/>
            <w:left w:w="108" w:type="dxa"/>
            <w:bottom w:w="0" w:type="dxa"/>
            <w:right w:w="108" w:type="dxa"/>
          </w:tblCellMar>
        </w:tblPrEx>
        <w:trPr>
          <w:trHeight w:val="514" w:hRule="atLeast"/>
        </w:trPr>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主管部门</w:t>
            </w:r>
          </w:p>
        </w:tc>
        <w:tc>
          <w:tcPr>
            <w:tcW w:w="626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广元市政务服务和数据局部门</w:t>
            </w:r>
          </w:p>
        </w:tc>
        <w:tc>
          <w:tcPr>
            <w:tcW w:w="1272" w:type="dxa"/>
            <w:tcBorders>
              <w:top w:val="nil"/>
              <w:left w:val="nil"/>
              <w:bottom w:val="nil"/>
              <w:right w:val="nil"/>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实施单位 （盖章）</w:t>
            </w:r>
          </w:p>
        </w:tc>
        <w:tc>
          <w:tcPr>
            <w:tcW w:w="423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广元市政务服务和公共资源交易中心</w:t>
            </w:r>
          </w:p>
        </w:tc>
      </w:tr>
      <w:tr>
        <w:tblPrEx>
          <w:tblCellMar>
            <w:top w:w="0" w:type="dxa"/>
            <w:left w:w="108" w:type="dxa"/>
            <w:bottom w:w="0" w:type="dxa"/>
            <w:right w:w="108" w:type="dxa"/>
          </w:tblCellMar>
        </w:tblPrEx>
        <w:trPr>
          <w:trHeight w:val="285" w:hRule="atLeast"/>
        </w:trPr>
        <w:tc>
          <w:tcPr>
            <w:tcW w:w="8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项目基本情况</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1.项目年度目标完成情况</w:t>
            </w:r>
          </w:p>
        </w:tc>
        <w:tc>
          <w:tcPr>
            <w:tcW w:w="626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项目年度目标</w:t>
            </w:r>
          </w:p>
        </w:tc>
        <w:tc>
          <w:tcPr>
            <w:tcW w:w="550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年度目标完成情况</w:t>
            </w:r>
          </w:p>
        </w:tc>
      </w:tr>
      <w:tr>
        <w:tblPrEx>
          <w:tblCellMar>
            <w:top w:w="0" w:type="dxa"/>
            <w:left w:w="108" w:type="dxa"/>
            <w:bottom w:w="0" w:type="dxa"/>
            <w:right w:w="108" w:type="dxa"/>
          </w:tblCellMar>
        </w:tblPrEx>
        <w:trPr>
          <w:trHeight w:val="1129"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c>
          <w:tcPr>
            <w:tcW w:w="626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通过对交易场所电脑、打印机、LED、公共资源交易平台、视频监控、音视频转存系统等软件、硬件维护，确保2024年度市公共资源交易信息中心网络宽带及电话、应急抢险救灾施工队伍储备库信息系统、公共资源交易电子平台管理信息系统、音视频转存系统等信息化硬件、监控视频、网络系统稳定通畅运行。</w:t>
            </w:r>
          </w:p>
        </w:tc>
        <w:tc>
          <w:tcPr>
            <w:tcW w:w="550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本年度中心网络设备、应急抢险救灾施工队伍储备库信息系统、公共资源交易电子平台管理信息系统等网络系统稳定通畅运行。</w:t>
            </w:r>
          </w:p>
        </w:tc>
      </w:tr>
      <w:tr>
        <w:tblPrEx>
          <w:tblCellMar>
            <w:top w:w="0" w:type="dxa"/>
            <w:left w:w="108" w:type="dxa"/>
            <w:bottom w:w="0" w:type="dxa"/>
            <w:right w:w="108" w:type="dxa"/>
          </w:tblCellMar>
        </w:tblPrEx>
        <w:trPr>
          <w:trHeight w:val="694"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2.项目实施内容及过程概述</w:t>
            </w:r>
          </w:p>
        </w:tc>
        <w:tc>
          <w:tcPr>
            <w:tcW w:w="1177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实施内容主要对公共资源交易平台和抢险救灾应急队伍储备库信息系统进行维护，布设互联网专线1条。</w:t>
            </w:r>
          </w:p>
        </w:tc>
      </w:tr>
      <w:tr>
        <w:tblPrEx>
          <w:tblCellMar>
            <w:top w:w="0" w:type="dxa"/>
            <w:left w:w="108" w:type="dxa"/>
            <w:bottom w:w="0" w:type="dxa"/>
            <w:right w:w="108" w:type="dxa"/>
          </w:tblCellMar>
        </w:tblPrEx>
        <w:trPr>
          <w:trHeight w:val="360" w:hRule="atLeast"/>
        </w:trPr>
        <w:tc>
          <w:tcPr>
            <w:tcW w:w="8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预算执行情况（10分）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年度预算数（万元）</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年初预算</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调整后预算数</w:t>
            </w: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预算执行数</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预算执行率</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权重</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得分</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原因</w:t>
            </w:r>
          </w:p>
        </w:tc>
      </w:tr>
      <w:tr>
        <w:tblPrEx>
          <w:tblCellMar>
            <w:top w:w="0" w:type="dxa"/>
            <w:left w:w="108" w:type="dxa"/>
            <w:bottom w:w="0" w:type="dxa"/>
            <w:right w:w="108" w:type="dxa"/>
          </w:tblCellMar>
        </w:tblPrEx>
        <w:trPr>
          <w:trHeight w:val="345"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总额</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24.00</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24.00</w:t>
            </w: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24.00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25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r>
              <w:rPr>
                <w:rFonts w:hint="eastAsia" w:ascii="宋体" w:hAnsi="宋体" w:cs="宋体"/>
                <w:color w:val="000000"/>
                <w:kern w:val="0"/>
                <w:sz w:val="18"/>
                <w:szCs w:val="18"/>
                <w:lang w:eastAsia="zh-CN" w:bidi="ar"/>
              </w:rPr>
              <w:t>。</w:t>
            </w:r>
          </w:p>
        </w:tc>
      </w:tr>
      <w:tr>
        <w:tblPrEx>
          <w:tblCellMar>
            <w:top w:w="0" w:type="dxa"/>
            <w:left w:w="108" w:type="dxa"/>
            <w:bottom w:w="0" w:type="dxa"/>
            <w:right w:w="108" w:type="dxa"/>
          </w:tblCellMar>
        </w:tblPrEx>
        <w:trPr>
          <w:trHeight w:val="390"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其中：财政资金</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24.00</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24.00</w:t>
            </w: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24.00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25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409"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财政专户管理资金</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25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60"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单位资金</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25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其他资金</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25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454" w:hRule="atLeast"/>
        </w:trPr>
        <w:tc>
          <w:tcPr>
            <w:tcW w:w="8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绩效指标（90分）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一级指标</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二级指标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三级指标</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指标性质</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指标值</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度量单位</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完成值</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权重</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得分</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产出指标</w:t>
            </w:r>
          </w:p>
        </w:tc>
        <w:tc>
          <w:tcPr>
            <w:tcW w:w="17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数量指标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维护的座机个数</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需维护的平台个数</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454"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网络正常运行的互联网专线个数</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454"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质量指标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音视频监控系统正常运行率</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办公场所及开标区域网络宽带及座机电话正常运行率</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454"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公共资源交易电子化平台正常运行率</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时效指标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网络故障处置响应天数</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天</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网络维护期</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年</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454"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效益指标</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社会效益指标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公共资源交易服务质量提升度</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定性</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公共资源交易服务质量提升度还有待进一步提升。</w:t>
            </w:r>
          </w:p>
        </w:tc>
      </w:tr>
      <w:tr>
        <w:tblPrEx>
          <w:tblCellMar>
            <w:top w:w="0" w:type="dxa"/>
            <w:left w:w="108" w:type="dxa"/>
            <w:bottom w:w="0" w:type="dxa"/>
            <w:right w:w="108" w:type="dxa"/>
          </w:tblCellMar>
        </w:tblPrEx>
        <w:trPr>
          <w:trHeight w:val="454"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满意度指标</w:t>
            </w:r>
          </w:p>
        </w:tc>
        <w:tc>
          <w:tcPr>
            <w:tcW w:w="17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服务对象满意度指标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公共资源交易活动主体满意度</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454"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工作人员对平台使用满意度</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成本指标</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经济成本指标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项目总预算控制数</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万元</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1036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98</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604"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评价结论</w:t>
            </w:r>
          </w:p>
        </w:tc>
        <w:tc>
          <w:tcPr>
            <w:tcW w:w="1379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经自评，该项目得分98分。本年度各平台正常运行，故障率低，处理及时，公共资源交易平台使用主体满意度持续提升。</w:t>
            </w:r>
          </w:p>
        </w:tc>
      </w:tr>
      <w:tr>
        <w:tblPrEx>
          <w:tblCellMar>
            <w:top w:w="0" w:type="dxa"/>
            <w:left w:w="108" w:type="dxa"/>
            <w:bottom w:w="0" w:type="dxa"/>
            <w:right w:w="108" w:type="dxa"/>
          </w:tblCellMar>
        </w:tblPrEx>
        <w:trPr>
          <w:trHeight w:val="574"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存在问题</w:t>
            </w:r>
          </w:p>
        </w:tc>
        <w:tc>
          <w:tcPr>
            <w:tcW w:w="1379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公共资源交易服务质量有待进一步提升。</w:t>
            </w:r>
          </w:p>
        </w:tc>
      </w:tr>
      <w:tr>
        <w:tblPrEx>
          <w:tblCellMar>
            <w:top w:w="0" w:type="dxa"/>
            <w:left w:w="108" w:type="dxa"/>
            <w:bottom w:w="0" w:type="dxa"/>
            <w:right w:w="108" w:type="dxa"/>
          </w:tblCellMar>
        </w:tblPrEx>
        <w:trPr>
          <w:trHeight w:val="634"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改进措施</w:t>
            </w:r>
          </w:p>
        </w:tc>
        <w:tc>
          <w:tcPr>
            <w:tcW w:w="1379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持续提升公共资源交易服务质量。</w:t>
            </w:r>
          </w:p>
        </w:tc>
      </w:tr>
      <w:tr>
        <w:tblPrEx>
          <w:tblCellMar>
            <w:top w:w="0" w:type="dxa"/>
            <w:left w:w="108" w:type="dxa"/>
            <w:bottom w:w="0" w:type="dxa"/>
            <w:right w:w="108" w:type="dxa"/>
          </w:tblCellMar>
        </w:tblPrEx>
        <w:trPr>
          <w:trHeight w:val="340" w:hRule="atLeast"/>
        </w:trPr>
        <w:tc>
          <w:tcPr>
            <w:tcW w:w="7362"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项目负责人：杨勇</w:t>
            </w:r>
          </w:p>
        </w:tc>
        <w:tc>
          <w:tcPr>
            <w:tcW w:w="723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财务负责人：袁玲</w:t>
            </w:r>
          </w:p>
        </w:tc>
      </w:tr>
      <w:tr>
        <w:tblPrEx>
          <w:tblCellMar>
            <w:top w:w="0" w:type="dxa"/>
            <w:left w:w="108" w:type="dxa"/>
            <w:bottom w:w="0" w:type="dxa"/>
            <w:right w:w="108" w:type="dxa"/>
          </w:tblCellMar>
        </w:tblPrEx>
        <w:trPr>
          <w:trHeight w:val="740" w:hRule="atLeast"/>
        </w:trPr>
        <w:tc>
          <w:tcPr>
            <w:tcW w:w="801"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2025"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1702"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2224"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610"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1207"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520"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1272"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820"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897"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2519" w:type="dxa"/>
            <w:tcBorders>
              <w:top w:val="nil"/>
              <w:left w:val="nil"/>
              <w:bottom w:val="nil"/>
              <w:right w:val="nil"/>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904" w:hRule="atLeast"/>
        </w:trPr>
        <w:tc>
          <w:tcPr>
            <w:tcW w:w="14597"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380" w:hRule="atLeast"/>
        </w:trPr>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项目名称</w:t>
            </w:r>
          </w:p>
        </w:tc>
        <w:tc>
          <w:tcPr>
            <w:tcW w:w="1177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51080021T000000052244-交易场地设施设备维护费</w:t>
            </w:r>
          </w:p>
        </w:tc>
      </w:tr>
      <w:tr>
        <w:tblPrEx>
          <w:tblCellMar>
            <w:top w:w="0" w:type="dxa"/>
            <w:left w:w="108" w:type="dxa"/>
            <w:bottom w:w="0" w:type="dxa"/>
            <w:right w:w="108" w:type="dxa"/>
          </w:tblCellMar>
        </w:tblPrEx>
        <w:trPr>
          <w:trHeight w:val="514" w:hRule="atLeast"/>
        </w:trPr>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主管部门</w:t>
            </w:r>
          </w:p>
        </w:tc>
        <w:tc>
          <w:tcPr>
            <w:tcW w:w="626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广元市政务服务和数据局部门</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实施单位 （盖章）</w:t>
            </w:r>
          </w:p>
        </w:tc>
        <w:tc>
          <w:tcPr>
            <w:tcW w:w="423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广元市政务服务和公共资源交易中心</w:t>
            </w:r>
          </w:p>
        </w:tc>
      </w:tr>
      <w:tr>
        <w:tblPrEx>
          <w:tblCellMar>
            <w:top w:w="0" w:type="dxa"/>
            <w:left w:w="108" w:type="dxa"/>
            <w:bottom w:w="0" w:type="dxa"/>
            <w:right w:w="108" w:type="dxa"/>
          </w:tblCellMar>
        </w:tblPrEx>
        <w:trPr>
          <w:trHeight w:val="380" w:hRule="atLeast"/>
        </w:trPr>
        <w:tc>
          <w:tcPr>
            <w:tcW w:w="8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项目基本情况</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1.项目年度目标完成情况</w:t>
            </w:r>
          </w:p>
        </w:tc>
        <w:tc>
          <w:tcPr>
            <w:tcW w:w="626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项目年度目标</w:t>
            </w:r>
          </w:p>
        </w:tc>
        <w:tc>
          <w:tcPr>
            <w:tcW w:w="550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年度目标完成情况</w:t>
            </w:r>
          </w:p>
        </w:tc>
      </w:tr>
      <w:tr>
        <w:tblPrEx>
          <w:tblCellMar>
            <w:top w:w="0" w:type="dxa"/>
            <w:left w:w="108" w:type="dxa"/>
            <w:bottom w:w="0" w:type="dxa"/>
            <w:right w:w="108" w:type="dxa"/>
          </w:tblCellMar>
        </w:tblPrEx>
        <w:trPr>
          <w:trHeight w:val="709"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c>
          <w:tcPr>
            <w:tcW w:w="626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通过对交易场所设施设备的维修维护，保障公共资源交易活动正常有序开展；通过对交易活动场所的升级改造，打造一流的示范交易中心。</w:t>
            </w:r>
          </w:p>
        </w:tc>
        <w:tc>
          <w:tcPr>
            <w:tcW w:w="550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通过对交易场地设施设备的维修维护和部分硬件的升级改造，交易活动得以正常进行。</w:t>
            </w:r>
          </w:p>
        </w:tc>
      </w:tr>
      <w:tr>
        <w:tblPrEx>
          <w:tblCellMar>
            <w:top w:w="0" w:type="dxa"/>
            <w:left w:w="108" w:type="dxa"/>
            <w:bottom w:w="0" w:type="dxa"/>
            <w:right w:w="108" w:type="dxa"/>
          </w:tblCellMar>
        </w:tblPrEx>
        <w:trPr>
          <w:trHeight w:val="560"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2.项目实施内容及过程概述</w:t>
            </w:r>
          </w:p>
        </w:tc>
        <w:tc>
          <w:tcPr>
            <w:tcW w:w="1177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本项目贯穿整年度，主要实施内容为对交易场所设施设备进行维修维护，保障交易活动正常开展。</w:t>
            </w:r>
          </w:p>
        </w:tc>
      </w:tr>
      <w:tr>
        <w:tblPrEx>
          <w:tblCellMar>
            <w:top w:w="0" w:type="dxa"/>
            <w:left w:w="108" w:type="dxa"/>
            <w:bottom w:w="0" w:type="dxa"/>
            <w:right w:w="108" w:type="dxa"/>
          </w:tblCellMar>
        </w:tblPrEx>
        <w:trPr>
          <w:trHeight w:val="360" w:hRule="atLeast"/>
        </w:trPr>
        <w:tc>
          <w:tcPr>
            <w:tcW w:w="8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预算执行情况（10分）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年度预算数（万元）</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年初预算</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调整后预算数</w:t>
            </w: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预算执行数</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预算执行率</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权重</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得分</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原因</w:t>
            </w:r>
          </w:p>
        </w:tc>
      </w:tr>
      <w:tr>
        <w:tblPrEx>
          <w:tblCellMar>
            <w:top w:w="0" w:type="dxa"/>
            <w:left w:w="108" w:type="dxa"/>
            <w:bottom w:w="0" w:type="dxa"/>
            <w:right w:w="108" w:type="dxa"/>
          </w:tblCellMar>
        </w:tblPrEx>
        <w:trPr>
          <w:trHeight w:val="345"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总额</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25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r>
              <w:rPr>
                <w:rFonts w:hint="eastAsia" w:ascii="宋体" w:hAnsi="宋体" w:cs="宋体"/>
                <w:color w:val="000000"/>
                <w:kern w:val="0"/>
                <w:sz w:val="18"/>
                <w:szCs w:val="18"/>
                <w:lang w:eastAsia="zh-CN" w:bidi="ar"/>
              </w:rPr>
              <w:t>。</w:t>
            </w:r>
          </w:p>
        </w:tc>
      </w:tr>
      <w:tr>
        <w:tblPrEx>
          <w:tblCellMar>
            <w:top w:w="0" w:type="dxa"/>
            <w:left w:w="108" w:type="dxa"/>
            <w:bottom w:w="0" w:type="dxa"/>
            <w:right w:w="108" w:type="dxa"/>
          </w:tblCellMar>
        </w:tblPrEx>
        <w:trPr>
          <w:trHeight w:val="390"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其中：财政资金</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25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409"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财政专户管理资金</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25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60"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单位资金</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25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其他资金</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25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454" w:hRule="atLeast"/>
        </w:trPr>
        <w:tc>
          <w:tcPr>
            <w:tcW w:w="8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绩效指标（90分）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一级指标</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二级指标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三级指标</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指标性质</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指标值</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度量单位</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完成值</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权重</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得分</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产出指标</w:t>
            </w:r>
          </w:p>
        </w:tc>
        <w:tc>
          <w:tcPr>
            <w:tcW w:w="17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数量指标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维护设施设备数量</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85</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454"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维护交易场地面积</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400</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平方米</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质量指标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交易场所提供的设备质量</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定性</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好</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好</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设备维护合格率</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时效指标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设备故障及时修复天数</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天</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设施设备维护时间</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年</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454"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效益指标</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社会效益指标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提高公共资源交易活动服务水平</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定性</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优</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优</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公共资源交易活动服务水平还有待进一步提升</w:t>
            </w:r>
          </w:p>
        </w:tc>
      </w:tr>
      <w:tr>
        <w:tblPrEx>
          <w:tblCellMar>
            <w:top w:w="0" w:type="dxa"/>
            <w:left w:w="108" w:type="dxa"/>
            <w:bottom w:w="0" w:type="dxa"/>
            <w:right w:w="108" w:type="dxa"/>
          </w:tblCellMar>
        </w:tblPrEx>
        <w:trPr>
          <w:trHeight w:val="454"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满意度指标</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满意度指标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公共资源交易活动主体满意度</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95</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95</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成本指标</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经济成本指标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项目总预算控制数</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万元</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285" w:hRule="atLeast"/>
        </w:trPr>
        <w:tc>
          <w:tcPr>
            <w:tcW w:w="1036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98</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604"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评价结论</w:t>
            </w:r>
          </w:p>
        </w:tc>
        <w:tc>
          <w:tcPr>
            <w:tcW w:w="1379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经自评，该项目得分98分。通过对交易场地设施设备的维修维护和部分硬件的升级改造，交易活动得以正常进行。</w:t>
            </w:r>
          </w:p>
        </w:tc>
      </w:tr>
      <w:tr>
        <w:tblPrEx>
          <w:tblCellMar>
            <w:top w:w="0" w:type="dxa"/>
            <w:left w:w="108" w:type="dxa"/>
            <w:bottom w:w="0" w:type="dxa"/>
            <w:right w:w="108" w:type="dxa"/>
          </w:tblCellMar>
        </w:tblPrEx>
        <w:trPr>
          <w:trHeight w:val="574"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存在问题</w:t>
            </w:r>
          </w:p>
        </w:tc>
        <w:tc>
          <w:tcPr>
            <w:tcW w:w="1379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公共资源交易活动服务水平有待进一步提高。</w:t>
            </w:r>
          </w:p>
        </w:tc>
      </w:tr>
      <w:tr>
        <w:tblPrEx>
          <w:tblCellMar>
            <w:top w:w="0" w:type="dxa"/>
            <w:left w:w="108" w:type="dxa"/>
            <w:bottom w:w="0" w:type="dxa"/>
            <w:right w:w="108" w:type="dxa"/>
          </w:tblCellMar>
        </w:tblPrEx>
        <w:trPr>
          <w:trHeight w:val="634"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改进措施</w:t>
            </w:r>
          </w:p>
        </w:tc>
        <w:tc>
          <w:tcPr>
            <w:tcW w:w="1379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持续提高公共资源交易活动服务水平。</w:t>
            </w:r>
          </w:p>
        </w:tc>
      </w:tr>
      <w:tr>
        <w:tblPrEx>
          <w:tblCellMar>
            <w:top w:w="0" w:type="dxa"/>
            <w:left w:w="108" w:type="dxa"/>
            <w:bottom w:w="0" w:type="dxa"/>
            <w:right w:w="108" w:type="dxa"/>
          </w:tblCellMar>
        </w:tblPrEx>
        <w:trPr>
          <w:trHeight w:val="340" w:hRule="atLeast"/>
        </w:trPr>
        <w:tc>
          <w:tcPr>
            <w:tcW w:w="7362"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项目负责人：杨勇</w:t>
            </w:r>
          </w:p>
        </w:tc>
        <w:tc>
          <w:tcPr>
            <w:tcW w:w="723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财务负责人：袁玲</w:t>
            </w:r>
          </w:p>
        </w:tc>
      </w:tr>
      <w:tr>
        <w:tblPrEx>
          <w:tblCellMar>
            <w:top w:w="0" w:type="dxa"/>
            <w:left w:w="108" w:type="dxa"/>
            <w:bottom w:w="0" w:type="dxa"/>
            <w:right w:w="108" w:type="dxa"/>
          </w:tblCellMar>
        </w:tblPrEx>
        <w:trPr>
          <w:trHeight w:val="840" w:hRule="atLeast"/>
        </w:trPr>
        <w:tc>
          <w:tcPr>
            <w:tcW w:w="801"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2025"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1702"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2224"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610"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1207"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520"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1272"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820"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897" w:type="dxa"/>
            <w:tcBorders>
              <w:top w:val="nil"/>
              <w:left w:val="nil"/>
              <w:bottom w:val="nil"/>
              <w:right w:val="nil"/>
            </w:tcBorders>
            <w:noWrap w:val="0"/>
            <w:vAlign w:val="center"/>
          </w:tcPr>
          <w:p>
            <w:pPr>
              <w:rPr>
                <w:rFonts w:hint="eastAsia" w:ascii="宋体" w:hAnsi="宋体" w:eastAsia="宋体" w:cs="宋体"/>
                <w:color w:val="000000"/>
                <w:sz w:val="18"/>
                <w:szCs w:val="18"/>
              </w:rPr>
            </w:pPr>
          </w:p>
        </w:tc>
        <w:tc>
          <w:tcPr>
            <w:tcW w:w="2519" w:type="dxa"/>
            <w:tcBorders>
              <w:top w:val="nil"/>
              <w:left w:val="nil"/>
              <w:bottom w:val="nil"/>
              <w:right w:val="nil"/>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904" w:hRule="atLeast"/>
        </w:trPr>
        <w:tc>
          <w:tcPr>
            <w:tcW w:w="14597"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460" w:hRule="atLeast"/>
        </w:trPr>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项目名称</w:t>
            </w:r>
          </w:p>
        </w:tc>
        <w:tc>
          <w:tcPr>
            <w:tcW w:w="1177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51080024T000011015889-公共资源交易业务工作经费</w:t>
            </w:r>
          </w:p>
        </w:tc>
      </w:tr>
      <w:tr>
        <w:tblPrEx>
          <w:tblCellMar>
            <w:top w:w="0" w:type="dxa"/>
            <w:left w:w="108" w:type="dxa"/>
            <w:bottom w:w="0" w:type="dxa"/>
            <w:right w:w="108" w:type="dxa"/>
          </w:tblCellMar>
        </w:tblPrEx>
        <w:trPr>
          <w:trHeight w:val="514" w:hRule="atLeast"/>
        </w:trPr>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主管部门</w:t>
            </w:r>
          </w:p>
        </w:tc>
        <w:tc>
          <w:tcPr>
            <w:tcW w:w="626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广元市政务服务和数据局部门</w:t>
            </w:r>
          </w:p>
        </w:tc>
        <w:tc>
          <w:tcPr>
            <w:tcW w:w="1272" w:type="dxa"/>
            <w:tcBorders>
              <w:top w:val="nil"/>
              <w:left w:val="nil"/>
              <w:bottom w:val="nil"/>
              <w:right w:val="nil"/>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实施单位 （盖章）</w:t>
            </w:r>
          </w:p>
        </w:tc>
        <w:tc>
          <w:tcPr>
            <w:tcW w:w="423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广元市政务服务和公共资源交易中心</w:t>
            </w:r>
          </w:p>
        </w:tc>
      </w:tr>
      <w:tr>
        <w:tblPrEx>
          <w:tblCellMar>
            <w:top w:w="0" w:type="dxa"/>
            <w:left w:w="108" w:type="dxa"/>
            <w:bottom w:w="0" w:type="dxa"/>
            <w:right w:w="108" w:type="dxa"/>
          </w:tblCellMar>
        </w:tblPrEx>
        <w:trPr>
          <w:trHeight w:val="400" w:hRule="atLeast"/>
        </w:trPr>
        <w:tc>
          <w:tcPr>
            <w:tcW w:w="8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项目基本情况</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1.项目年度目标完成情况</w:t>
            </w:r>
          </w:p>
        </w:tc>
        <w:tc>
          <w:tcPr>
            <w:tcW w:w="626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项目年度目标</w:t>
            </w:r>
          </w:p>
        </w:tc>
        <w:tc>
          <w:tcPr>
            <w:tcW w:w="550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年度目标完成情况</w:t>
            </w:r>
          </w:p>
        </w:tc>
      </w:tr>
      <w:tr>
        <w:tblPrEx>
          <w:tblCellMar>
            <w:top w:w="0" w:type="dxa"/>
            <w:left w:w="108" w:type="dxa"/>
            <w:bottom w:w="0" w:type="dxa"/>
            <w:right w:w="108" w:type="dxa"/>
          </w:tblCellMar>
        </w:tblPrEx>
        <w:trPr>
          <w:trHeight w:val="904"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c>
          <w:tcPr>
            <w:tcW w:w="626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通过开展工程建设项目招投标、政府采购、土地矿权出让等公共资源交易活动，与各地市州进行业务交流，保障全市工程建设项目有序开展，政府采购评审专家依法依规评审；土地（矿权）拍卖、转让顺利进行，为各市场交易主体提供优质高效服务。</w:t>
            </w:r>
          </w:p>
        </w:tc>
        <w:tc>
          <w:tcPr>
            <w:tcW w:w="550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2024年，工程建设项目招投标、政府采购、土地矿权出让等公共资源交易活动正常有序开展，项目交易量达800余个，为各市场交易主体提供了优质高效的服务。</w:t>
            </w:r>
          </w:p>
        </w:tc>
      </w:tr>
      <w:tr>
        <w:tblPrEx>
          <w:tblCellMar>
            <w:top w:w="0" w:type="dxa"/>
            <w:left w:w="108" w:type="dxa"/>
            <w:bottom w:w="0" w:type="dxa"/>
            <w:right w:w="108" w:type="dxa"/>
          </w:tblCellMar>
        </w:tblPrEx>
        <w:trPr>
          <w:trHeight w:val="694"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2.项目实施内容及过程概述</w:t>
            </w:r>
          </w:p>
        </w:tc>
        <w:tc>
          <w:tcPr>
            <w:tcW w:w="1177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通过支付政府采购专家评审费、土地出让拍卖费等业务费用，保障全市工程建设项目有序开展，政府采购评审专家依法依规评审，土地（矿权）拍卖、转让顺利进行，为各市场交易主体提供优质高效服务。</w:t>
            </w:r>
          </w:p>
        </w:tc>
      </w:tr>
      <w:tr>
        <w:tblPrEx>
          <w:tblCellMar>
            <w:top w:w="0" w:type="dxa"/>
            <w:left w:w="108" w:type="dxa"/>
            <w:bottom w:w="0" w:type="dxa"/>
            <w:right w:w="108" w:type="dxa"/>
          </w:tblCellMar>
        </w:tblPrEx>
        <w:trPr>
          <w:trHeight w:val="360" w:hRule="atLeast"/>
        </w:trPr>
        <w:tc>
          <w:tcPr>
            <w:tcW w:w="8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预算执行情况（10分）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年度预算数（万元）</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年初预算</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调整后预算数</w:t>
            </w: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预算执行数</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预算执行率</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权重</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得分</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原因</w:t>
            </w:r>
          </w:p>
        </w:tc>
      </w:tr>
      <w:tr>
        <w:tblPrEx>
          <w:tblCellMar>
            <w:top w:w="0" w:type="dxa"/>
            <w:left w:w="108" w:type="dxa"/>
            <w:bottom w:w="0" w:type="dxa"/>
            <w:right w:w="108" w:type="dxa"/>
          </w:tblCellMar>
        </w:tblPrEx>
        <w:trPr>
          <w:trHeight w:val="345"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总额</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61.23</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61.23</w:t>
            </w: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61.23</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25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r>
              <w:rPr>
                <w:rFonts w:hint="eastAsia" w:ascii="宋体" w:hAnsi="宋体" w:cs="宋体"/>
                <w:color w:val="000000"/>
                <w:kern w:val="0"/>
                <w:sz w:val="18"/>
                <w:szCs w:val="18"/>
                <w:lang w:eastAsia="zh-CN" w:bidi="ar"/>
              </w:rPr>
              <w:t>。</w:t>
            </w:r>
          </w:p>
        </w:tc>
      </w:tr>
      <w:tr>
        <w:tblPrEx>
          <w:tblCellMar>
            <w:top w:w="0" w:type="dxa"/>
            <w:left w:w="108" w:type="dxa"/>
            <w:bottom w:w="0" w:type="dxa"/>
            <w:right w:w="108" w:type="dxa"/>
          </w:tblCellMar>
        </w:tblPrEx>
        <w:trPr>
          <w:trHeight w:val="390"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其中：财政资金</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61.23</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61.23</w:t>
            </w: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61.23</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25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409"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财政专户管理资金</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25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60"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单位资金</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25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440"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其他资金</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c>
          <w:tcPr>
            <w:tcW w:w="233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25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454" w:hRule="atLeast"/>
        </w:trPr>
        <w:tc>
          <w:tcPr>
            <w:tcW w:w="8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绩效指标（90分）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一级指标</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二级指标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三级指标</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指标性质</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指标值</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度量单位</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完成值</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权重</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得分</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未完成原因分析</w:t>
            </w: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产出指标</w:t>
            </w:r>
          </w:p>
        </w:tc>
        <w:tc>
          <w:tcPr>
            <w:tcW w:w="17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数量指标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工程建设项目交易量</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500</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786</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土地矿权交易量</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宗</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38</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600"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政府采购项目交易量</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72</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本年度代理的集中采购项目个数减少。</w:t>
            </w: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质量指标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资金节约率</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17.4</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项目流标率</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时效指标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任务完成时间</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月</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效益指标</w:t>
            </w:r>
          </w:p>
        </w:tc>
        <w:tc>
          <w:tcPr>
            <w:tcW w:w="17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社会效益指标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为市财政年度增收情况</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定性</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好</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好</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提高政府部门服务效率</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定性</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好</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好</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454"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对中小企业发展的促进作用</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定性</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好</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好</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454"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满意度指标</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服务对象满意度指标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公共资源交易主体满意度</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98</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98</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338"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成本指标</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经济成本指标</w:t>
            </w:r>
          </w:p>
        </w:tc>
        <w:tc>
          <w:tcPr>
            <w:tcW w:w="2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项目总预算控制数</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61.23</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万元</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61.23</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rPr>
            </w:pPr>
          </w:p>
        </w:tc>
      </w:tr>
      <w:tr>
        <w:tblPrEx>
          <w:tblCellMar>
            <w:top w:w="0" w:type="dxa"/>
            <w:left w:w="108" w:type="dxa"/>
            <w:bottom w:w="0" w:type="dxa"/>
            <w:right w:w="108" w:type="dxa"/>
          </w:tblCellMar>
        </w:tblPrEx>
        <w:trPr>
          <w:trHeight w:val="285" w:hRule="atLeast"/>
        </w:trPr>
        <w:tc>
          <w:tcPr>
            <w:tcW w:w="1036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98</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604"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评价结论</w:t>
            </w:r>
          </w:p>
        </w:tc>
        <w:tc>
          <w:tcPr>
            <w:tcW w:w="1379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经自评，该项目得分98分。通过该项目的实施，保障了全市工程建设项目招投标、政府采购、土地矿权出让等公共资源交易活动正常有序开展，提升了公共资源交易服务水平。</w:t>
            </w:r>
          </w:p>
        </w:tc>
      </w:tr>
      <w:tr>
        <w:tblPrEx>
          <w:tblCellMar>
            <w:top w:w="0" w:type="dxa"/>
            <w:left w:w="108" w:type="dxa"/>
            <w:bottom w:w="0" w:type="dxa"/>
            <w:right w:w="108" w:type="dxa"/>
          </w:tblCellMar>
        </w:tblPrEx>
        <w:trPr>
          <w:trHeight w:val="574"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存在问题</w:t>
            </w:r>
          </w:p>
        </w:tc>
        <w:tc>
          <w:tcPr>
            <w:tcW w:w="1379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由于项目交易量存在许多不确定性，导致部分指标执行情况有偏差。</w:t>
            </w:r>
          </w:p>
        </w:tc>
      </w:tr>
      <w:tr>
        <w:tblPrEx>
          <w:tblCellMar>
            <w:top w:w="0" w:type="dxa"/>
            <w:left w:w="108" w:type="dxa"/>
            <w:bottom w:w="0" w:type="dxa"/>
            <w:right w:w="108" w:type="dxa"/>
          </w:tblCellMar>
        </w:tblPrEx>
        <w:trPr>
          <w:trHeight w:val="634"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改进措施</w:t>
            </w:r>
          </w:p>
        </w:tc>
        <w:tc>
          <w:tcPr>
            <w:tcW w:w="1379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根据工作实际合理设定年度绩效目标，并细化、量化指标设置，使项目预算安排与绩效目标合理匹配。</w:t>
            </w:r>
          </w:p>
        </w:tc>
      </w:tr>
      <w:tr>
        <w:tblPrEx>
          <w:tblCellMar>
            <w:top w:w="0" w:type="dxa"/>
            <w:left w:w="108" w:type="dxa"/>
            <w:bottom w:w="0" w:type="dxa"/>
            <w:right w:w="108" w:type="dxa"/>
          </w:tblCellMar>
        </w:tblPrEx>
        <w:trPr>
          <w:trHeight w:val="380" w:hRule="atLeast"/>
        </w:trPr>
        <w:tc>
          <w:tcPr>
            <w:tcW w:w="7362"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项目负责人：宁建华</w:t>
            </w:r>
          </w:p>
        </w:tc>
        <w:tc>
          <w:tcPr>
            <w:tcW w:w="723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财务负责人：袁玲</w:t>
            </w:r>
          </w:p>
        </w:tc>
      </w:tr>
    </w:tbl>
    <w:p>
      <w:pPr>
        <w:pStyle w:val="2"/>
        <w:rPr>
          <w:rFonts w:hint="eastAsia"/>
        </w:rPr>
        <w:sectPr>
          <w:pgSz w:w="16838" w:h="11906" w:orient="landscape"/>
          <w:pgMar w:top="1800" w:right="1440" w:bottom="1800" w:left="1440" w:header="851" w:footer="992" w:gutter="0"/>
          <w:pgNumType w:fmt="numberInDash"/>
          <w:cols w:space="425" w:num="1"/>
          <w:titlePg/>
          <w:docGrid w:type="lines" w:linePitch="312" w:charSpace="0"/>
        </w:sectPr>
      </w:pPr>
    </w:p>
    <w:p>
      <w:pPr>
        <w:rPr>
          <w:rFonts w:hint="eastAsia"/>
        </w:rPr>
      </w:pPr>
    </w:p>
    <w:p>
      <w:pPr>
        <w:pStyle w:val="3"/>
        <w:bidi w:val="0"/>
        <w:jc w:val="center"/>
        <w:rPr>
          <w:rFonts w:hint="eastAsia" w:ascii="Times New Roman" w:hAnsi="Times New Roman" w:eastAsia="仿宋_GB2312" w:cs="仿宋_GB2312"/>
          <w:color w:val="auto"/>
          <w:sz w:val="32"/>
          <w:szCs w:val="32"/>
          <w:highlight w:val="none"/>
        </w:rPr>
      </w:pPr>
      <w:bookmarkStart w:id="81" w:name="_Toc32530"/>
      <w:r>
        <w:rPr>
          <w:rFonts w:hint="eastAsia" w:ascii="Times New Roman" w:hAnsi="Times New Roman" w:eastAsia="黑体"/>
          <w:color w:val="auto"/>
          <w:sz w:val="44"/>
          <w:szCs w:val="44"/>
          <w:highlight w:val="none"/>
        </w:rPr>
        <w:t>第</w:t>
      </w:r>
      <w:r>
        <w:rPr>
          <w:rStyle w:val="21"/>
          <w:rFonts w:hint="eastAsia" w:ascii="Times New Roman" w:hAnsi="Times New Roman" w:eastAsia="黑体"/>
          <w:b w:val="0"/>
          <w:bCs/>
          <w:color w:val="auto"/>
          <w:highlight w:val="none"/>
        </w:rPr>
        <w:t>五部分 附表</w:t>
      </w:r>
      <w:bookmarkEnd w:id="74"/>
      <w:bookmarkEnd w:id="80"/>
      <w:bookmarkEnd w:id="81"/>
      <w:bookmarkStart w:id="82" w:name="_Toc15396619"/>
    </w:p>
    <w:p>
      <w:pPr>
        <w:pStyle w:val="4"/>
        <w:bidi w:val="0"/>
        <w:jc w:val="left"/>
        <w:rPr>
          <w:rFonts w:hint="eastAsia"/>
          <w:b w:val="0"/>
          <w:bCs w:val="0"/>
        </w:rPr>
      </w:pPr>
      <w:bookmarkStart w:id="83" w:name="_Toc26202"/>
      <w:r>
        <w:rPr>
          <w:rFonts w:hint="eastAsia"/>
          <w:b w:val="0"/>
          <w:bCs w:val="0"/>
        </w:rPr>
        <w:t>一、收入支出决算总表</w:t>
      </w:r>
      <w:bookmarkEnd w:id="82"/>
      <w:bookmarkEnd w:id="83"/>
    </w:p>
    <w:p>
      <w:pPr>
        <w:pStyle w:val="4"/>
        <w:bidi w:val="0"/>
        <w:jc w:val="left"/>
        <w:rPr>
          <w:rFonts w:hint="eastAsia"/>
          <w:b w:val="0"/>
          <w:bCs w:val="0"/>
        </w:rPr>
      </w:pPr>
      <w:bookmarkStart w:id="84" w:name="_Toc22942"/>
      <w:bookmarkStart w:id="85" w:name="_Toc15396620"/>
      <w:r>
        <w:rPr>
          <w:rFonts w:hint="eastAsia"/>
          <w:b w:val="0"/>
          <w:bCs w:val="0"/>
        </w:rPr>
        <w:t>二、收入决算表</w:t>
      </w:r>
      <w:bookmarkEnd w:id="84"/>
      <w:bookmarkEnd w:id="85"/>
    </w:p>
    <w:p>
      <w:pPr>
        <w:pStyle w:val="4"/>
        <w:bidi w:val="0"/>
        <w:jc w:val="left"/>
        <w:rPr>
          <w:rFonts w:hint="eastAsia"/>
          <w:b w:val="0"/>
          <w:bCs w:val="0"/>
        </w:rPr>
      </w:pPr>
      <w:bookmarkStart w:id="86" w:name="_Toc15396621"/>
      <w:bookmarkStart w:id="87" w:name="_Toc19816"/>
      <w:r>
        <w:rPr>
          <w:rFonts w:hint="eastAsia"/>
          <w:b w:val="0"/>
          <w:bCs w:val="0"/>
        </w:rPr>
        <w:t>三、支出决算表</w:t>
      </w:r>
      <w:bookmarkEnd w:id="86"/>
      <w:bookmarkEnd w:id="87"/>
    </w:p>
    <w:p>
      <w:pPr>
        <w:pStyle w:val="4"/>
        <w:bidi w:val="0"/>
        <w:jc w:val="left"/>
        <w:rPr>
          <w:rFonts w:hint="eastAsia"/>
          <w:b w:val="0"/>
          <w:bCs w:val="0"/>
        </w:rPr>
      </w:pPr>
      <w:bookmarkStart w:id="88" w:name="_Toc28276"/>
      <w:bookmarkStart w:id="89" w:name="_Toc15396622"/>
      <w:r>
        <w:rPr>
          <w:rFonts w:hint="eastAsia"/>
          <w:b w:val="0"/>
          <w:bCs w:val="0"/>
        </w:rPr>
        <w:t>四、财政拨款收入支出决算总表</w:t>
      </w:r>
      <w:bookmarkEnd w:id="88"/>
      <w:bookmarkEnd w:id="89"/>
    </w:p>
    <w:p>
      <w:pPr>
        <w:pStyle w:val="4"/>
        <w:bidi w:val="0"/>
        <w:jc w:val="left"/>
        <w:rPr>
          <w:rFonts w:hint="eastAsia"/>
          <w:b w:val="0"/>
          <w:bCs w:val="0"/>
        </w:rPr>
      </w:pPr>
      <w:bookmarkStart w:id="90" w:name="_Toc9861"/>
      <w:bookmarkStart w:id="91" w:name="_Toc15396623"/>
      <w:r>
        <w:rPr>
          <w:rFonts w:hint="eastAsia"/>
          <w:b w:val="0"/>
          <w:bCs w:val="0"/>
        </w:rPr>
        <w:t>五、财政拨款支出决算明细表</w:t>
      </w:r>
      <w:bookmarkEnd w:id="90"/>
      <w:bookmarkEnd w:id="91"/>
      <w:bookmarkStart w:id="92" w:name="_Toc15396624"/>
    </w:p>
    <w:p>
      <w:pPr>
        <w:pStyle w:val="4"/>
        <w:bidi w:val="0"/>
        <w:jc w:val="left"/>
        <w:rPr>
          <w:rFonts w:hint="eastAsia"/>
          <w:b w:val="0"/>
          <w:bCs w:val="0"/>
        </w:rPr>
      </w:pPr>
      <w:bookmarkStart w:id="93" w:name="_Toc15205"/>
      <w:r>
        <w:rPr>
          <w:rFonts w:hint="eastAsia"/>
          <w:b w:val="0"/>
          <w:bCs w:val="0"/>
        </w:rPr>
        <w:t>六、一般公共预算财政拨款支出决算表</w:t>
      </w:r>
      <w:bookmarkEnd w:id="92"/>
      <w:bookmarkEnd w:id="93"/>
    </w:p>
    <w:p>
      <w:pPr>
        <w:pStyle w:val="4"/>
        <w:bidi w:val="0"/>
        <w:jc w:val="left"/>
        <w:rPr>
          <w:rFonts w:hint="eastAsia"/>
          <w:b w:val="0"/>
          <w:bCs w:val="0"/>
        </w:rPr>
      </w:pPr>
      <w:bookmarkStart w:id="94" w:name="_Toc22904"/>
      <w:bookmarkStart w:id="95" w:name="_Toc15396625"/>
      <w:r>
        <w:rPr>
          <w:rFonts w:hint="eastAsia"/>
          <w:b w:val="0"/>
          <w:bCs w:val="0"/>
        </w:rPr>
        <w:t>七、一般公共预算财政拨款支出决算明细表</w:t>
      </w:r>
      <w:bookmarkEnd w:id="94"/>
      <w:bookmarkEnd w:id="95"/>
    </w:p>
    <w:p>
      <w:pPr>
        <w:pStyle w:val="4"/>
        <w:bidi w:val="0"/>
        <w:jc w:val="left"/>
        <w:rPr>
          <w:rFonts w:hint="eastAsia"/>
          <w:b w:val="0"/>
          <w:bCs w:val="0"/>
        </w:rPr>
      </w:pPr>
      <w:bookmarkStart w:id="96" w:name="_Toc15396626"/>
      <w:bookmarkStart w:id="97" w:name="_Toc27990"/>
      <w:r>
        <w:rPr>
          <w:rFonts w:hint="eastAsia"/>
          <w:b w:val="0"/>
          <w:bCs w:val="0"/>
        </w:rPr>
        <w:t>八、一般公共预算财政拨款基本支出决算表</w:t>
      </w:r>
      <w:bookmarkEnd w:id="96"/>
      <w:bookmarkEnd w:id="97"/>
    </w:p>
    <w:p>
      <w:pPr>
        <w:pStyle w:val="4"/>
        <w:bidi w:val="0"/>
        <w:jc w:val="left"/>
        <w:rPr>
          <w:rFonts w:hint="eastAsia"/>
          <w:b w:val="0"/>
          <w:bCs w:val="0"/>
        </w:rPr>
      </w:pPr>
      <w:bookmarkStart w:id="98" w:name="_Toc6892"/>
      <w:bookmarkStart w:id="99" w:name="_Toc15396627"/>
      <w:r>
        <w:rPr>
          <w:rFonts w:hint="eastAsia"/>
          <w:b w:val="0"/>
          <w:bCs w:val="0"/>
        </w:rPr>
        <w:t>九、一般公共预算财政拨款项目支出决算表</w:t>
      </w:r>
      <w:bookmarkEnd w:id="98"/>
      <w:bookmarkEnd w:id="99"/>
    </w:p>
    <w:p>
      <w:pPr>
        <w:pStyle w:val="4"/>
        <w:bidi w:val="0"/>
        <w:jc w:val="left"/>
        <w:rPr>
          <w:rFonts w:hint="eastAsia"/>
          <w:b w:val="0"/>
          <w:bCs w:val="0"/>
        </w:rPr>
      </w:pPr>
      <w:bookmarkStart w:id="100" w:name="_Toc15396628"/>
      <w:bookmarkStart w:id="101" w:name="_Toc31824"/>
      <w:r>
        <w:rPr>
          <w:rFonts w:hint="eastAsia"/>
          <w:b w:val="0"/>
          <w:bCs w:val="0"/>
        </w:rPr>
        <w:t>十、</w:t>
      </w:r>
      <w:bookmarkEnd w:id="100"/>
      <w:r>
        <w:rPr>
          <w:rFonts w:hint="eastAsia"/>
          <w:b w:val="0"/>
          <w:bCs w:val="0"/>
        </w:rPr>
        <w:t>政府性基金预算财政拨款收入支出决算表</w:t>
      </w:r>
      <w:bookmarkEnd w:id="101"/>
    </w:p>
    <w:p>
      <w:pPr>
        <w:pStyle w:val="4"/>
        <w:bidi w:val="0"/>
        <w:jc w:val="left"/>
        <w:rPr>
          <w:rFonts w:hint="eastAsia"/>
          <w:b w:val="0"/>
          <w:bCs w:val="0"/>
        </w:rPr>
      </w:pPr>
      <w:bookmarkStart w:id="102" w:name="_Toc15396629"/>
      <w:bookmarkStart w:id="103" w:name="_Toc26781"/>
      <w:r>
        <w:rPr>
          <w:rFonts w:hint="eastAsia"/>
          <w:b w:val="0"/>
          <w:bCs w:val="0"/>
        </w:rPr>
        <w:t>十一、</w:t>
      </w:r>
      <w:bookmarkEnd w:id="102"/>
      <w:r>
        <w:rPr>
          <w:rFonts w:hint="eastAsia"/>
          <w:b w:val="0"/>
          <w:bCs w:val="0"/>
        </w:rPr>
        <w:t>国有资本经营预算</w:t>
      </w:r>
      <w:r>
        <w:rPr>
          <w:rFonts w:hint="eastAsia"/>
          <w:b w:val="0"/>
          <w:bCs w:val="0"/>
          <w:lang w:eastAsia="zh-CN"/>
        </w:rPr>
        <w:t>财政拨款收入</w:t>
      </w:r>
      <w:r>
        <w:rPr>
          <w:rFonts w:hint="eastAsia"/>
          <w:b w:val="0"/>
          <w:bCs w:val="0"/>
        </w:rPr>
        <w:t>支出决算表</w:t>
      </w:r>
      <w:bookmarkEnd w:id="103"/>
    </w:p>
    <w:p>
      <w:pPr>
        <w:pStyle w:val="4"/>
        <w:bidi w:val="0"/>
        <w:jc w:val="left"/>
        <w:rPr>
          <w:rFonts w:hint="eastAsia"/>
          <w:b w:val="0"/>
          <w:bCs w:val="0"/>
        </w:rPr>
      </w:pPr>
      <w:bookmarkStart w:id="104" w:name="_Toc15396630"/>
      <w:bookmarkStart w:id="105" w:name="_Toc17783"/>
      <w:r>
        <w:rPr>
          <w:rFonts w:hint="eastAsia"/>
          <w:b w:val="0"/>
          <w:bCs w:val="0"/>
        </w:rPr>
        <w:t>十二、</w:t>
      </w:r>
      <w:bookmarkEnd w:id="104"/>
      <w:r>
        <w:rPr>
          <w:rFonts w:hint="eastAsia"/>
          <w:b w:val="0"/>
          <w:bCs w:val="0"/>
          <w:lang w:eastAsia="zh-CN"/>
        </w:rPr>
        <w:t>国有资本经营预算财政拨款支出决算表</w:t>
      </w:r>
      <w:bookmarkEnd w:id="105"/>
    </w:p>
    <w:p>
      <w:pPr>
        <w:pStyle w:val="4"/>
        <w:bidi w:val="0"/>
        <w:jc w:val="left"/>
        <w:rPr>
          <w:rFonts w:hint="eastAsia"/>
          <w:b w:val="0"/>
          <w:bCs w:val="0"/>
          <w:lang w:eastAsia="zh-CN"/>
        </w:rPr>
      </w:pPr>
      <w:bookmarkStart w:id="106" w:name="_Toc15396631"/>
      <w:bookmarkStart w:id="107" w:name="_Toc4124"/>
      <w:r>
        <w:rPr>
          <w:rFonts w:hint="eastAsia"/>
          <w:b w:val="0"/>
          <w:bCs w:val="0"/>
        </w:rPr>
        <w:t>十三、</w:t>
      </w:r>
      <w:bookmarkEnd w:id="106"/>
      <w:r>
        <w:rPr>
          <w:rFonts w:hint="eastAsia"/>
          <w:b w:val="0"/>
          <w:bCs w:val="0"/>
          <w:lang w:eastAsia="zh-CN"/>
        </w:rPr>
        <w:t>财政拨款“三公”经费支出决算表</w:t>
      </w:r>
      <w:bookmarkEnd w:id="107"/>
    </w:p>
    <w:p>
      <w:pPr>
        <w:keepNext w:val="0"/>
        <w:keepLines w:val="0"/>
        <w:pageBreakBefore w:val="0"/>
        <w:widowControl w:val="0"/>
        <w:kinsoku/>
        <w:wordWrap/>
        <w:overflowPunct/>
        <w:topLinePunct w:val="0"/>
        <w:autoSpaceDE/>
        <w:autoSpaceDN/>
        <w:bidi w:val="0"/>
        <w:spacing w:line="480" w:lineRule="auto"/>
        <w:textAlignment w:val="auto"/>
        <w:rPr>
          <w:rFonts w:hint="eastAsia" w:ascii="Times New Roman" w:hAnsi="Times New Roman"/>
          <w:lang w:eastAsia="zh-CN"/>
        </w:rPr>
      </w:pPr>
    </w:p>
    <w:sectPr>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Mang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Mangal">
    <w:panose1 w:val="00000400000000000000"/>
    <w:charset w:val="00"/>
    <w:family w:val="auto"/>
    <w:pitch w:val="default"/>
    <w:sig w:usb0="00008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D77A7"/>
    <w:multiLevelType w:val="singleLevel"/>
    <w:tmpl w:val="373D77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7FF0D99"/>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9FFF8F"/>
    <w:rsid w:val="17E50567"/>
    <w:rsid w:val="17EE47E1"/>
    <w:rsid w:val="186504BB"/>
    <w:rsid w:val="19A445FC"/>
    <w:rsid w:val="1BE8440E"/>
    <w:rsid w:val="1D155CEE"/>
    <w:rsid w:val="1D1638FE"/>
    <w:rsid w:val="1E312DEB"/>
    <w:rsid w:val="1E740ACF"/>
    <w:rsid w:val="1FB81503"/>
    <w:rsid w:val="1FBB0739"/>
    <w:rsid w:val="1FF35744"/>
    <w:rsid w:val="1FF6BC77"/>
    <w:rsid w:val="2186353C"/>
    <w:rsid w:val="23395E81"/>
    <w:rsid w:val="23860B96"/>
    <w:rsid w:val="240371BF"/>
    <w:rsid w:val="244F3473"/>
    <w:rsid w:val="24C97D99"/>
    <w:rsid w:val="25A718F0"/>
    <w:rsid w:val="25BB59F6"/>
    <w:rsid w:val="260F557C"/>
    <w:rsid w:val="26970054"/>
    <w:rsid w:val="27AB9F19"/>
    <w:rsid w:val="27FFD1E4"/>
    <w:rsid w:val="281408E2"/>
    <w:rsid w:val="29FD04D3"/>
    <w:rsid w:val="2B5E0195"/>
    <w:rsid w:val="2BFF7BC6"/>
    <w:rsid w:val="2C8A61B5"/>
    <w:rsid w:val="2DB9F0C3"/>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DE835A"/>
    <w:rsid w:val="37E16F03"/>
    <w:rsid w:val="37F53A3B"/>
    <w:rsid w:val="37F78BBD"/>
    <w:rsid w:val="389B6C89"/>
    <w:rsid w:val="38D469F0"/>
    <w:rsid w:val="39627CCD"/>
    <w:rsid w:val="397BAF1F"/>
    <w:rsid w:val="39EFE713"/>
    <w:rsid w:val="3AB79AF3"/>
    <w:rsid w:val="3AE834C0"/>
    <w:rsid w:val="3B7EF35A"/>
    <w:rsid w:val="3B9FDB6C"/>
    <w:rsid w:val="3BF5BC2F"/>
    <w:rsid w:val="3CC7D9A2"/>
    <w:rsid w:val="3CD3DB7A"/>
    <w:rsid w:val="3CEBA265"/>
    <w:rsid w:val="3D98207C"/>
    <w:rsid w:val="3DBF7698"/>
    <w:rsid w:val="3DDB22F6"/>
    <w:rsid w:val="3DEE7CF3"/>
    <w:rsid w:val="3DF7CC48"/>
    <w:rsid w:val="3E37D186"/>
    <w:rsid w:val="3E740A63"/>
    <w:rsid w:val="3E78745D"/>
    <w:rsid w:val="3E7F4CA3"/>
    <w:rsid w:val="3EE17838"/>
    <w:rsid w:val="3EEF7FC6"/>
    <w:rsid w:val="3F55381A"/>
    <w:rsid w:val="3F7F7599"/>
    <w:rsid w:val="3FB73E27"/>
    <w:rsid w:val="3FF4CAE0"/>
    <w:rsid w:val="3FF73922"/>
    <w:rsid w:val="3FF7B227"/>
    <w:rsid w:val="3FFD3555"/>
    <w:rsid w:val="3FFF2EDB"/>
    <w:rsid w:val="44E268DA"/>
    <w:rsid w:val="450D13D7"/>
    <w:rsid w:val="45506656"/>
    <w:rsid w:val="47F77AA2"/>
    <w:rsid w:val="486A6C7A"/>
    <w:rsid w:val="4A627F82"/>
    <w:rsid w:val="4B0E749A"/>
    <w:rsid w:val="4B2477C4"/>
    <w:rsid w:val="4B4F25DA"/>
    <w:rsid w:val="4BE068DB"/>
    <w:rsid w:val="4D577224"/>
    <w:rsid w:val="4DBF1CEB"/>
    <w:rsid w:val="4DF0007C"/>
    <w:rsid w:val="4EAB630A"/>
    <w:rsid w:val="4ECE2238"/>
    <w:rsid w:val="4F833267"/>
    <w:rsid w:val="4FBFDC6A"/>
    <w:rsid w:val="4FE9BD67"/>
    <w:rsid w:val="4FFB052F"/>
    <w:rsid w:val="537E6D0A"/>
    <w:rsid w:val="53F74C96"/>
    <w:rsid w:val="55170BA8"/>
    <w:rsid w:val="553218C9"/>
    <w:rsid w:val="567E1AA5"/>
    <w:rsid w:val="569B56DB"/>
    <w:rsid w:val="56E47B74"/>
    <w:rsid w:val="57175D52"/>
    <w:rsid w:val="5755E126"/>
    <w:rsid w:val="577F10FD"/>
    <w:rsid w:val="57BD3DD4"/>
    <w:rsid w:val="5AF92295"/>
    <w:rsid w:val="5B250254"/>
    <w:rsid w:val="5BDD79E6"/>
    <w:rsid w:val="5BDFA6D8"/>
    <w:rsid w:val="5BF561CA"/>
    <w:rsid w:val="5BFF5DFC"/>
    <w:rsid w:val="5CD71FC4"/>
    <w:rsid w:val="5D1F11B5"/>
    <w:rsid w:val="5D695134"/>
    <w:rsid w:val="5D6BAB90"/>
    <w:rsid w:val="5D6F6423"/>
    <w:rsid w:val="5DAE1B18"/>
    <w:rsid w:val="5DDBF804"/>
    <w:rsid w:val="5DE7D9E5"/>
    <w:rsid w:val="5ECEC941"/>
    <w:rsid w:val="5EFB5834"/>
    <w:rsid w:val="5FABEFBC"/>
    <w:rsid w:val="5FBF9FF3"/>
    <w:rsid w:val="5FCD4E2C"/>
    <w:rsid w:val="5FDF65BD"/>
    <w:rsid w:val="5FE73D1A"/>
    <w:rsid w:val="5FEAD3DF"/>
    <w:rsid w:val="5FEF394A"/>
    <w:rsid w:val="5FEF5822"/>
    <w:rsid w:val="5FEF8D93"/>
    <w:rsid w:val="5FEFBED0"/>
    <w:rsid w:val="5FF67715"/>
    <w:rsid w:val="5FFFD30E"/>
    <w:rsid w:val="62BF3928"/>
    <w:rsid w:val="63B3701E"/>
    <w:rsid w:val="647F5392"/>
    <w:rsid w:val="64F7DF7A"/>
    <w:rsid w:val="65E66580"/>
    <w:rsid w:val="664B1D71"/>
    <w:rsid w:val="664B4E8E"/>
    <w:rsid w:val="66ADD20E"/>
    <w:rsid w:val="67277B67"/>
    <w:rsid w:val="67AA3209"/>
    <w:rsid w:val="67FA06C0"/>
    <w:rsid w:val="698D0931"/>
    <w:rsid w:val="6A7FE5F3"/>
    <w:rsid w:val="6B053271"/>
    <w:rsid w:val="6BDD78B3"/>
    <w:rsid w:val="6BF5E636"/>
    <w:rsid w:val="6C4A05C8"/>
    <w:rsid w:val="6C8742B8"/>
    <w:rsid w:val="6DBF5E93"/>
    <w:rsid w:val="6DC9F21A"/>
    <w:rsid w:val="6DFAF9B9"/>
    <w:rsid w:val="6DFF077E"/>
    <w:rsid w:val="6E67F74F"/>
    <w:rsid w:val="6E714EF0"/>
    <w:rsid w:val="6E7E3605"/>
    <w:rsid w:val="6E7FDCC7"/>
    <w:rsid w:val="6ED6A62E"/>
    <w:rsid w:val="6EE00B15"/>
    <w:rsid w:val="6F6FB3EB"/>
    <w:rsid w:val="6F8731EA"/>
    <w:rsid w:val="6FAC64DC"/>
    <w:rsid w:val="6FCE6052"/>
    <w:rsid w:val="6FD57C00"/>
    <w:rsid w:val="6FD7F2BB"/>
    <w:rsid w:val="6FE95155"/>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CFDA19"/>
    <w:rsid w:val="73DF5D86"/>
    <w:rsid w:val="73FA497D"/>
    <w:rsid w:val="73FD1817"/>
    <w:rsid w:val="744731E5"/>
    <w:rsid w:val="74BBD01D"/>
    <w:rsid w:val="74ED5379"/>
    <w:rsid w:val="75611FA9"/>
    <w:rsid w:val="75DEEEC2"/>
    <w:rsid w:val="75E32345"/>
    <w:rsid w:val="767FA7E9"/>
    <w:rsid w:val="76E3355F"/>
    <w:rsid w:val="76FF5125"/>
    <w:rsid w:val="773FD207"/>
    <w:rsid w:val="776F6FFA"/>
    <w:rsid w:val="777CCB3F"/>
    <w:rsid w:val="778769C8"/>
    <w:rsid w:val="77A75DCA"/>
    <w:rsid w:val="77CFACC4"/>
    <w:rsid w:val="77DC22F5"/>
    <w:rsid w:val="77F2E919"/>
    <w:rsid w:val="77FE0990"/>
    <w:rsid w:val="783E271A"/>
    <w:rsid w:val="78616DE9"/>
    <w:rsid w:val="78B6FC87"/>
    <w:rsid w:val="78DB9446"/>
    <w:rsid w:val="78E875D7"/>
    <w:rsid w:val="79086DAD"/>
    <w:rsid w:val="795F3EFF"/>
    <w:rsid w:val="797F2C92"/>
    <w:rsid w:val="797F3670"/>
    <w:rsid w:val="79D7FD79"/>
    <w:rsid w:val="79EE5BA4"/>
    <w:rsid w:val="79F98754"/>
    <w:rsid w:val="7A894339"/>
    <w:rsid w:val="7AB7DECD"/>
    <w:rsid w:val="7AD284E8"/>
    <w:rsid w:val="7AFF7572"/>
    <w:rsid w:val="7B6C7DFB"/>
    <w:rsid w:val="7BB7DC50"/>
    <w:rsid w:val="7BBFBED0"/>
    <w:rsid w:val="7BC3E394"/>
    <w:rsid w:val="7BE6DCE0"/>
    <w:rsid w:val="7BFE712B"/>
    <w:rsid w:val="7BFFB816"/>
    <w:rsid w:val="7C1F3737"/>
    <w:rsid w:val="7CBFC87B"/>
    <w:rsid w:val="7CED5947"/>
    <w:rsid w:val="7CFE0F48"/>
    <w:rsid w:val="7D272ABC"/>
    <w:rsid w:val="7D741EA7"/>
    <w:rsid w:val="7D77E532"/>
    <w:rsid w:val="7D7EC23E"/>
    <w:rsid w:val="7DFDB902"/>
    <w:rsid w:val="7DFF4263"/>
    <w:rsid w:val="7E3F6F05"/>
    <w:rsid w:val="7E59099F"/>
    <w:rsid w:val="7E8ADEBF"/>
    <w:rsid w:val="7EB2A297"/>
    <w:rsid w:val="7EEF11D3"/>
    <w:rsid w:val="7EFDA35A"/>
    <w:rsid w:val="7EFE4840"/>
    <w:rsid w:val="7F0971A6"/>
    <w:rsid w:val="7F1D62E7"/>
    <w:rsid w:val="7F3F679B"/>
    <w:rsid w:val="7F4FC4EF"/>
    <w:rsid w:val="7F5DFC0F"/>
    <w:rsid w:val="7F5E4D54"/>
    <w:rsid w:val="7F6E0135"/>
    <w:rsid w:val="7F79F205"/>
    <w:rsid w:val="7F7BD89B"/>
    <w:rsid w:val="7F7F1B37"/>
    <w:rsid w:val="7FA30C79"/>
    <w:rsid w:val="7FA5FB2E"/>
    <w:rsid w:val="7FA79C44"/>
    <w:rsid w:val="7FAF8ABF"/>
    <w:rsid w:val="7FB7269E"/>
    <w:rsid w:val="7FBC8692"/>
    <w:rsid w:val="7FBFB3C4"/>
    <w:rsid w:val="7FBFEE78"/>
    <w:rsid w:val="7FC96657"/>
    <w:rsid w:val="7FDA9588"/>
    <w:rsid w:val="7FDF220F"/>
    <w:rsid w:val="7FE76495"/>
    <w:rsid w:val="7FEDC5F7"/>
    <w:rsid w:val="7FEDD9DE"/>
    <w:rsid w:val="7FEDF605"/>
    <w:rsid w:val="7FF5890D"/>
    <w:rsid w:val="7FF6C8BD"/>
    <w:rsid w:val="7FF93490"/>
    <w:rsid w:val="7FFBBF21"/>
    <w:rsid w:val="7FFDF7CA"/>
    <w:rsid w:val="99FF2014"/>
    <w:rsid w:val="9DB351F1"/>
    <w:rsid w:val="9EE7F226"/>
    <w:rsid w:val="A6DD0D7F"/>
    <w:rsid w:val="ABBFBC3C"/>
    <w:rsid w:val="ACFF4FBB"/>
    <w:rsid w:val="ADC6F725"/>
    <w:rsid w:val="B377CF0D"/>
    <w:rsid w:val="B7CF06AB"/>
    <w:rsid w:val="B7CFA926"/>
    <w:rsid w:val="B7E993A1"/>
    <w:rsid w:val="B7F8786B"/>
    <w:rsid w:val="B9FFC2F9"/>
    <w:rsid w:val="BABB6AA1"/>
    <w:rsid w:val="BB2F4199"/>
    <w:rsid w:val="BB2F9258"/>
    <w:rsid w:val="BCFF495C"/>
    <w:rsid w:val="BCFFB442"/>
    <w:rsid w:val="BD079C78"/>
    <w:rsid w:val="BD733540"/>
    <w:rsid w:val="BDFC2100"/>
    <w:rsid w:val="BF3735D5"/>
    <w:rsid w:val="BF3FC9C5"/>
    <w:rsid w:val="BF7F09AC"/>
    <w:rsid w:val="BFD475C3"/>
    <w:rsid w:val="BFDE5EA6"/>
    <w:rsid w:val="BFFA97C8"/>
    <w:rsid w:val="BFFFB5B5"/>
    <w:rsid w:val="C2F619C0"/>
    <w:rsid w:val="C2FC431D"/>
    <w:rsid w:val="C3DC86F1"/>
    <w:rsid w:val="C96FE212"/>
    <w:rsid w:val="CDFF15C3"/>
    <w:rsid w:val="CF6FC6F3"/>
    <w:rsid w:val="CF75F920"/>
    <w:rsid w:val="CF7DA2E7"/>
    <w:rsid w:val="CFD3D3D7"/>
    <w:rsid w:val="CFDF1009"/>
    <w:rsid w:val="D5E79CDE"/>
    <w:rsid w:val="D771E970"/>
    <w:rsid w:val="D77EDA03"/>
    <w:rsid w:val="D7D7B16A"/>
    <w:rsid w:val="D8D6DB89"/>
    <w:rsid w:val="DB6F4CAB"/>
    <w:rsid w:val="DB777682"/>
    <w:rsid w:val="DBFF888D"/>
    <w:rsid w:val="DCFEAE0F"/>
    <w:rsid w:val="DD1FB521"/>
    <w:rsid w:val="DEF75E6E"/>
    <w:rsid w:val="DEFBFEAE"/>
    <w:rsid w:val="DEFF8CA4"/>
    <w:rsid w:val="DF1F3B80"/>
    <w:rsid w:val="DF6A14BB"/>
    <w:rsid w:val="DF6F9789"/>
    <w:rsid w:val="DF7F0002"/>
    <w:rsid w:val="DFAFCF04"/>
    <w:rsid w:val="DFC75643"/>
    <w:rsid w:val="DFE9BE81"/>
    <w:rsid w:val="DFFDD861"/>
    <w:rsid w:val="DFFE52B7"/>
    <w:rsid w:val="DFFFA9E8"/>
    <w:rsid w:val="E56FB312"/>
    <w:rsid w:val="E5AA2370"/>
    <w:rsid w:val="E5F4E9DC"/>
    <w:rsid w:val="E6DE302E"/>
    <w:rsid w:val="E70FE695"/>
    <w:rsid w:val="E9FFEF1F"/>
    <w:rsid w:val="EAFDA15A"/>
    <w:rsid w:val="EB2E368B"/>
    <w:rsid w:val="EB79BCF5"/>
    <w:rsid w:val="EBDB7F70"/>
    <w:rsid w:val="EBF7244E"/>
    <w:rsid w:val="ECFCEC6A"/>
    <w:rsid w:val="ECFED1BC"/>
    <w:rsid w:val="ED1D69BB"/>
    <w:rsid w:val="ED7FD312"/>
    <w:rsid w:val="EDB7CA46"/>
    <w:rsid w:val="EF2E1AC6"/>
    <w:rsid w:val="EF53993F"/>
    <w:rsid w:val="EF6FD633"/>
    <w:rsid w:val="EFBFAEB3"/>
    <w:rsid w:val="EFBFB2F4"/>
    <w:rsid w:val="EFBFFA21"/>
    <w:rsid w:val="F2BEBCB8"/>
    <w:rsid w:val="F337F591"/>
    <w:rsid w:val="F36FB518"/>
    <w:rsid w:val="F3DE1A04"/>
    <w:rsid w:val="F3F722E5"/>
    <w:rsid w:val="F3F7EA71"/>
    <w:rsid w:val="F3FE5057"/>
    <w:rsid w:val="F4FBCD07"/>
    <w:rsid w:val="F59F97B8"/>
    <w:rsid w:val="F6AE1D7B"/>
    <w:rsid w:val="F79B1AF3"/>
    <w:rsid w:val="F7DEFA81"/>
    <w:rsid w:val="F7DF5C78"/>
    <w:rsid w:val="F7F9B1D3"/>
    <w:rsid w:val="F8DFF2CE"/>
    <w:rsid w:val="FA370FBD"/>
    <w:rsid w:val="FA5F1E70"/>
    <w:rsid w:val="FA5FDB97"/>
    <w:rsid w:val="FAE428B9"/>
    <w:rsid w:val="FAF28974"/>
    <w:rsid w:val="FAF39488"/>
    <w:rsid w:val="FB2093F8"/>
    <w:rsid w:val="FB7F486A"/>
    <w:rsid w:val="FBBEF78F"/>
    <w:rsid w:val="FBDE454B"/>
    <w:rsid w:val="FBF09434"/>
    <w:rsid w:val="FBFF5B2E"/>
    <w:rsid w:val="FC9B6D68"/>
    <w:rsid w:val="FD7FD2A9"/>
    <w:rsid w:val="FD7FFE2B"/>
    <w:rsid w:val="FD7FFFE6"/>
    <w:rsid w:val="FDDEB4F2"/>
    <w:rsid w:val="FDEB21BB"/>
    <w:rsid w:val="FDEE196B"/>
    <w:rsid w:val="FDFB3342"/>
    <w:rsid w:val="FDFE6575"/>
    <w:rsid w:val="FEAE6F24"/>
    <w:rsid w:val="FEBF2DD1"/>
    <w:rsid w:val="FEDFCEE2"/>
    <w:rsid w:val="FEDFDDC2"/>
    <w:rsid w:val="FEED32F6"/>
    <w:rsid w:val="FEF58AFE"/>
    <w:rsid w:val="FEF781DD"/>
    <w:rsid w:val="FEFFC064"/>
    <w:rsid w:val="FEFFD95D"/>
    <w:rsid w:val="FF3B09E4"/>
    <w:rsid w:val="FF3F7E3F"/>
    <w:rsid w:val="FF3FC50F"/>
    <w:rsid w:val="FF74546F"/>
    <w:rsid w:val="FF79C2D1"/>
    <w:rsid w:val="FF9D3231"/>
    <w:rsid w:val="FFAFFE57"/>
    <w:rsid w:val="FFBA12D7"/>
    <w:rsid w:val="FFCBD314"/>
    <w:rsid w:val="FFD3A9EB"/>
    <w:rsid w:val="FFDD2FDF"/>
    <w:rsid w:val="FFDFF91C"/>
    <w:rsid w:val="FFDFFAEE"/>
    <w:rsid w:val="FFEF6777"/>
    <w:rsid w:val="FFF6E28C"/>
    <w:rsid w:val="FFF917C9"/>
    <w:rsid w:val="FFF9B57B"/>
    <w:rsid w:val="FFFA599F"/>
    <w:rsid w:val="FFFAE2FC"/>
    <w:rsid w:val="FFFB31E1"/>
    <w:rsid w:val="FFFC5FAD"/>
    <w:rsid w:val="FFFD61D9"/>
    <w:rsid w:val="FFFD8F59"/>
    <w:rsid w:val="FFFF2BB1"/>
    <w:rsid w:val="FFFFA49F"/>
    <w:rsid w:val="FFFFB04D"/>
    <w:rsid w:val="FFFFFE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2"/>
    <w:qFormat/>
    <w:uiPriority w:val="99"/>
    <w:pPr>
      <w:spacing w:beforeLines="30"/>
    </w:pPr>
    <w:rPr>
      <w:rFonts w:ascii="仿宋_GB2312" w:eastAsia="仿宋_GB2312"/>
      <w:kern w:val="0"/>
      <w:sz w:val="30"/>
    </w:rPr>
  </w:style>
  <w:style w:type="paragraph" w:styleId="6">
    <w:name w:val="index 8"/>
    <w:basedOn w:val="1"/>
    <w:next w:val="1"/>
    <w:qFormat/>
    <w:uiPriority w:val="0"/>
    <w:pPr>
      <w:ind w:left="2940"/>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6"/>
    <w:semiHidden/>
    <w:unhideWhenUsed/>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3"/>
    <w:qFormat/>
    <w:uiPriority w:val="9"/>
    <w:rPr>
      <w:rFonts w:ascii="Times New Roman" w:hAnsi="Times New Roman"/>
      <w:b/>
      <w:bCs/>
      <w:kern w:val="44"/>
      <w:sz w:val="44"/>
      <w:szCs w:val="44"/>
    </w:rPr>
  </w:style>
  <w:style w:type="character" w:customStyle="1" w:styleId="22">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3">
    <w:name w:val="标题 3 Char"/>
    <w:basedOn w:val="18"/>
    <w:link w:val="5"/>
    <w:qFormat/>
    <w:uiPriority w:val="9"/>
    <w:rPr>
      <w:rFonts w:ascii="Times New Roman" w:hAnsi="Times New Roman"/>
      <w:b/>
      <w:bCs/>
      <w:kern w:val="2"/>
      <w:sz w:val="32"/>
      <w:szCs w:val="32"/>
    </w:rPr>
  </w:style>
  <w:style w:type="paragraph" w:customStyle="1" w:styleId="24">
    <w:name w:val="正文-公1"/>
    <w:basedOn w:val="25"/>
    <w:next w:val="1"/>
    <w:qFormat/>
    <w:uiPriority w:val="0"/>
    <w:pPr>
      <w:ind w:firstLine="200" w:firstLineChars="200"/>
    </w:p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7">
    <w:name w:val="Header Char"/>
    <w:basedOn w:val="18"/>
    <w:semiHidden/>
    <w:qFormat/>
    <w:uiPriority w:val="99"/>
    <w:rPr>
      <w:rFonts w:ascii="Times New Roman" w:hAnsi="Times New Roman"/>
      <w:sz w:val="18"/>
      <w:szCs w:val="18"/>
    </w:rPr>
  </w:style>
  <w:style w:type="character" w:customStyle="1" w:styleId="28">
    <w:name w:val="页眉 Char"/>
    <w:link w:val="12"/>
    <w:semiHidden/>
    <w:qFormat/>
    <w:locked/>
    <w:uiPriority w:val="99"/>
    <w:rPr>
      <w:sz w:val="18"/>
    </w:rPr>
  </w:style>
  <w:style w:type="character" w:customStyle="1" w:styleId="29">
    <w:name w:val="Footer Char"/>
    <w:basedOn w:val="18"/>
    <w:semiHidden/>
    <w:qFormat/>
    <w:uiPriority w:val="99"/>
    <w:rPr>
      <w:rFonts w:ascii="Times New Roman" w:hAnsi="Times New Roman"/>
      <w:sz w:val="18"/>
      <w:szCs w:val="18"/>
    </w:rPr>
  </w:style>
  <w:style w:type="character" w:customStyle="1" w:styleId="30">
    <w:name w:val="页脚 Char"/>
    <w:link w:val="11"/>
    <w:qFormat/>
    <w:locked/>
    <w:uiPriority w:val="99"/>
    <w:rPr>
      <w:sz w:val="18"/>
    </w:rPr>
  </w:style>
  <w:style w:type="character" w:customStyle="1" w:styleId="31">
    <w:name w:val="Body Text Char"/>
    <w:basedOn w:val="18"/>
    <w:semiHidden/>
    <w:qFormat/>
    <w:uiPriority w:val="99"/>
    <w:rPr>
      <w:rFonts w:ascii="Times New Roman" w:hAnsi="Times New Roman"/>
      <w:szCs w:val="24"/>
    </w:rPr>
  </w:style>
  <w:style w:type="character" w:customStyle="1" w:styleId="32">
    <w:name w:val="正文文本 Char"/>
    <w:link w:val="2"/>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4">
    <w:name w:val="List Paragraph"/>
    <w:basedOn w:val="1"/>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18"/>
    <w:link w:val="10"/>
    <w:semiHidden/>
    <w:qFormat/>
    <w:uiPriority w:val="99"/>
    <w:rPr>
      <w:rFonts w:ascii="Times New Roman" w:hAnsi="Times New Roman"/>
      <w:kern w:val="2"/>
      <w:sz w:val="18"/>
      <w:szCs w:val="18"/>
    </w:r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9">
    <w:name w:val="font141"/>
    <w:basedOn w:val="18"/>
    <w:qFormat/>
    <w:uiPriority w:val="0"/>
    <w:rPr>
      <w:rFonts w:ascii="黑体" w:hAnsi="宋体" w:eastAsia="黑体" w:cs="黑体"/>
      <w:color w:val="000000"/>
      <w:sz w:val="32"/>
      <w:szCs w:val="32"/>
      <w:u w:val="none"/>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05515695577974"/>
          <c:y val="0.0296248508895818"/>
          <c:w val="0.861220130823655"/>
          <c:h val="0.891456606327186"/>
        </c:manualLayout>
      </c:layout>
      <c:barChart>
        <c:barDir val="col"/>
        <c:grouping val="stacked"/>
        <c:varyColors val="false"/>
        <c:ser>
          <c:idx val="0"/>
          <c:order val="0"/>
          <c:tx>
            <c:strRef>
              <c:f>Sheet1!$B$1</c:f>
              <c:strCache>
                <c:ptCount val="1"/>
                <c:pt idx="0">
                  <c:v>系列 1</c:v>
                </c:pt>
              </c:strCache>
            </c:strRef>
          </c:tx>
          <c:spPr>
            <a:solidFill>
              <a:schemeClr val="accent1"/>
            </a:solidFill>
            <a:ln>
              <a:noFill/>
            </a:ln>
            <a:effectLst/>
          </c:spPr>
          <c:invertIfNegative val="false"/>
          <c:dLbls>
            <c:dLbl>
              <c:idx val="0"/>
              <c:layout>
                <c:manualLayout>
                  <c:x val="-0.00597626682654293"/>
                  <c:y val="-0.223803369865712"/>
                </c:manualLayout>
              </c:layout>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194779898714453"/>
                  <c:y val="-0.442304414521902"/>
                </c:manualLayout>
              </c:layout>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  2023年度收、支决算总计</c:v>
                </c:pt>
                <c:pt idx="1">
                  <c:v>  2024年度收、支决算总计</c:v>
                </c:pt>
              </c:strCache>
            </c:strRef>
          </c:cat>
          <c:val>
            <c:numRef>
              <c:f>Sheet1!$B$2:$B$3</c:f>
              <c:numCache>
                <c:formatCode>General</c:formatCode>
                <c:ptCount val="2"/>
                <c:pt idx="0">
                  <c:v>481.08</c:v>
                </c:pt>
                <c:pt idx="1">
                  <c:v>493.22</c:v>
                </c:pt>
              </c:numCache>
            </c:numRef>
          </c:val>
        </c:ser>
        <c:dLbls>
          <c:showLegendKey val="false"/>
          <c:showVal val="true"/>
          <c:showCatName val="false"/>
          <c:showSerName val="false"/>
          <c:showPercent val="false"/>
          <c:showBubbleSize val="false"/>
        </c:dLbls>
        <c:gapWidth val="150"/>
        <c:overlap val="100"/>
        <c:axId val="946362237"/>
        <c:axId val="409956856"/>
      </c:barChart>
      <c:catAx>
        <c:axId val="94636223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crossAx val="409956856"/>
        <c:crosses val="autoZero"/>
        <c:auto val="true"/>
        <c:lblAlgn val="ctr"/>
        <c:lblOffset val="100"/>
        <c:noMultiLvlLbl val="false"/>
      </c:catAx>
      <c:valAx>
        <c:axId val="40995685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4636223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2024年度收入</c:v>
                </c:pt>
              </c:strCache>
            </c:strRef>
          </c:tx>
          <c:spPr/>
          <c:explosion val="0"/>
          <c:dPt>
            <c:idx val="0"/>
            <c:bubble3D val="false"/>
            <c:spPr>
              <a:solidFill>
                <a:schemeClr val="accent1"/>
              </a:solidFill>
              <a:ln w="19050">
                <a:solidFill>
                  <a:schemeClr val="lt1"/>
                </a:solidFill>
              </a:ln>
              <a:effectLst/>
            </c:spPr>
          </c:dPt>
          <c:dLbls>
            <c:dLbl>
              <c:idx val="0"/>
              <c:layout>
                <c:manualLayout>
                  <c:x val="-9.04654226915778e-7"/>
                  <c:y val="-0.161286194893611"/>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489.61</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1848.54</c:v>
                </c:pt>
              </c:numCache>
            </c:numRef>
          </c:val>
        </c:ser>
        <c:ser>
          <c:idx val="1"/>
          <c:order val="1"/>
          <c:tx>
            <c:strRef>
              <c:f>Sheet1!$C$1</c:f>
              <c:strCache>
                <c:ptCount val="1"/>
                <c:pt idx="0">
                  <c:v/>
                </c:pt>
              </c:strCache>
            </c:strRef>
          </c:tx>
          <c:spPr/>
          <c:explosion val="0"/>
          <c:dPt>
            <c:idx val="0"/>
            <c:bubble3D val="false"/>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Sheet1!$C$2</c:f>
              <c:numCache>
                <c:formatCode>General</c:formatCode>
                <c:ptCount val="1"/>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ayout>
        <c:manualLayout>
          <c:xMode val="edge"/>
          <c:yMode val="edge"/>
          <c:x val="0.301543332014246"/>
          <c:y val="0.918157181571816"/>
          <c:w val="0.431341511673922"/>
          <c:h val="0.0764227642276423"/>
        </c:manualLayout>
      </c:layout>
      <c:overlay val="false"/>
      <c:spPr>
        <a:noFill/>
        <a:ln>
          <a:noFill/>
        </a:ln>
        <a:effectLst/>
      </c:spPr>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2024年度支出</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397.97</c:v>
                </c:pt>
                <c:pt idx="1">
                  <c:v>95.23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ayout>
        <c:manualLayout>
          <c:xMode val="edge"/>
          <c:yMode val="edge"/>
          <c:x val="0.31575"/>
          <c:y val="0.9245"/>
          <c:w val="0.371375"/>
          <c:h val="0.0555"/>
        </c:manualLayout>
      </c:layout>
      <c:overlay val="false"/>
      <c:spPr>
        <a:noFill/>
        <a:ln>
          <a:noFill/>
        </a:ln>
        <a:effectLst/>
      </c:spPr>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8195"/>
          <c:y val="0.0483333333333333"/>
          <c:w val="0.8818"/>
          <c:h val="0.883066666666667"/>
        </c:manualLayout>
      </c:layout>
      <c:barChart>
        <c:barDir val="col"/>
        <c:grouping val="stacked"/>
        <c:varyColors val="false"/>
        <c:ser>
          <c:idx val="0"/>
          <c:order val="0"/>
          <c:tx>
            <c:strRef>
              <c:f>Sheet1!$B$1</c:f>
              <c:strCache>
                <c:ptCount val="1"/>
                <c:pt idx="0">
                  <c:v/>
                </c:pt>
              </c:strCache>
            </c:strRef>
          </c:tx>
          <c:spPr>
            <a:solidFill>
              <a:schemeClr val="accent1"/>
            </a:solidFill>
            <a:ln>
              <a:noFill/>
            </a:ln>
            <a:effectLst/>
          </c:spPr>
          <c:invertIfNegative val="false"/>
          <c:dLbls>
            <c:dLbl>
              <c:idx val="0"/>
              <c:layout>
                <c:manualLayout>
                  <c:x val="-0.00539200614911605"/>
                  <c:y val="-0.210412087912088"/>
                </c:manualLayout>
              </c:layout>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75"/>
                  <c:y val="-0.4425"/>
                </c:manualLayout>
              </c:layout>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2023年度财政拨款收、支总计</c:v>
                </c:pt>
                <c:pt idx="1">
                  <c:v>2024年度财政拨款收、支总计</c:v>
                </c:pt>
              </c:strCache>
            </c:strRef>
          </c:cat>
          <c:val>
            <c:numRef>
              <c:f>Sheet1!$B$2:$B$3</c:f>
              <c:numCache>
                <c:formatCode>General</c:formatCode>
                <c:ptCount val="2"/>
                <c:pt idx="0">
                  <c:v>481.08</c:v>
                </c:pt>
                <c:pt idx="1">
                  <c:v>493.22</c:v>
                </c:pt>
              </c:numCache>
            </c:numRef>
          </c:val>
        </c:ser>
        <c:ser>
          <c:idx val="1"/>
          <c:order val="1"/>
          <c:tx>
            <c:strRef>
              <c:f>Sheet1!$C$1</c:f>
              <c:strCache>
                <c:ptCount val="1"/>
                <c:pt idx="0">
                  <c:v/>
                </c:pt>
              </c:strCache>
            </c:strRef>
          </c:tx>
          <c:spPr>
            <a:solidFill>
              <a:schemeClr val="accent2"/>
            </a:solidFill>
            <a:ln>
              <a:noFill/>
            </a:ln>
            <a:effectLst/>
          </c:spPr>
          <c:invertIfNegative val="false"/>
          <c:dLbls>
            <c:delete val="true"/>
          </c:dLbls>
          <c:cat>
            <c:strRef>
              <c:f>Sheet1!$A$2:$A$3</c:f>
              <c:strCache>
                <c:ptCount val="2"/>
                <c:pt idx="0">
                  <c:v>2023年度财政拨款收、支总计</c:v>
                </c:pt>
                <c:pt idx="1">
                  <c:v>2024年度财政拨款收、支总计</c:v>
                </c:pt>
              </c:strCache>
            </c:strRef>
          </c:cat>
          <c:val>
            <c:numRef>
              <c:f>Sheet1!$C$2:$C$3</c:f>
              <c:numCache>
                <c:formatCode>General</c:formatCode>
                <c:ptCount val="2"/>
              </c:numCache>
            </c:numRef>
          </c:val>
        </c:ser>
        <c:dLbls>
          <c:showLegendKey val="false"/>
          <c:showVal val="false"/>
          <c:showCatName val="false"/>
          <c:showSerName val="false"/>
          <c:showPercent val="false"/>
          <c:showBubbleSize val="false"/>
        </c:dLbls>
        <c:gapWidth val="150"/>
        <c:overlap val="100"/>
        <c:axId val="487666254"/>
        <c:axId val="594749386"/>
      </c:barChart>
      <c:catAx>
        <c:axId val="48766625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crossAx val="594749386"/>
        <c:crosses val="autoZero"/>
        <c:auto val="true"/>
        <c:lblAlgn val="ctr"/>
        <c:lblOffset val="100"/>
        <c:noMultiLvlLbl val="false"/>
      </c:catAx>
      <c:valAx>
        <c:axId val="59474938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8766625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stacked"/>
        <c:varyColors val="false"/>
        <c:ser>
          <c:idx val="0"/>
          <c:order val="0"/>
          <c:tx>
            <c:strRef>
              <c:f>Sheet1!$B$1</c:f>
              <c:strCache>
                <c:ptCount val="1"/>
                <c:pt idx="0">
                  <c:v/>
                </c:pt>
              </c:strCache>
            </c:strRef>
          </c:tx>
          <c:spPr>
            <a:solidFill>
              <a:schemeClr val="accent1"/>
            </a:solidFill>
            <a:ln>
              <a:noFill/>
            </a:ln>
            <a:effectLst/>
          </c:spPr>
          <c:invertIfNegative val="false"/>
          <c:dLbls>
            <c:dLbl>
              <c:idx val="0"/>
              <c:layout>
                <c:manualLayout>
                  <c:x val="0.0059721300597213"/>
                  <c:y val="-0.235243068742879"/>
                </c:manualLayout>
              </c:layout>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375000000000005"/>
                  <c:y val="-0.442256931257121"/>
                </c:manualLayout>
              </c:layout>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2023年度一般公共预算财政拨款支出</c:v>
                </c:pt>
                <c:pt idx="1">
                  <c:v>2024年度一般公共预算财政拨款支出</c:v>
                </c:pt>
              </c:strCache>
            </c:strRef>
          </c:cat>
          <c:val>
            <c:numRef>
              <c:f>Sheet1!$B$2:$B$3</c:f>
              <c:numCache>
                <c:formatCode>General</c:formatCode>
                <c:ptCount val="2"/>
                <c:pt idx="0">
                  <c:v>477.48</c:v>
                </c:pt>
                <c:pt idx="1">
                  <c:v>493.2</c:v>
                </c:pt>
              </c:numCache>
            </c:numRef>
          </c:val>
        </c:ser>
        <c:ser>
          <c:idx val="1"/>
          <c:order val="1"/>
          <c:tx>
            <c:strRef>
              <c:f>Sheet1!$C$1</c:f>
              <c:strCache>
                <c:ptCount val="1"/>
                <c:pt idx="0">
                  <c:v/>
                </c:pt>
              </c:strCache>
            </c:strRef>
          </c:tx>
          <c:spPr>
            <a:solidFill>
              <a:schemeClr val="accent2"/>
            </a:solidFill>
            <a:ln>
              <a:noFill/>
            </a:ln>
            <a:effectLst/>
          </c:spPr>
          <c:invertIfNegative val="false"/>
          <c:dLbls>
            <c:delete val="true"/>
          </c:dLbls>
          <c:cat>
            <c:strRef>
              <c:f>Sheet1!$A$2:$A$3</c:f>
              <c:strCache>
                <c:ptCount val="2"/>
                <c:pt idx="0">
                  <c:v>2023年度一般公共预算财政拨款支出</c:v>
                </c:pt>
                <c:pt idx="1">
                  <c:v>2024年度一般公共预算财政拨款支出</c:v>
                </c:pt>
              </c:strCache>
            </c:strRef>
          </c:cat>
          <c:val>
            <c:numRef>
              <c:f>Sheet1!$C$2:$C$3</c:f>
              <c:numCache>
                <c:formatCode>General</c:formatCode>
                <c:ptCount val="2"/>
              </c:numCache>
            </c:numRef>
          </c:val>
        </c:ser>
        <c:dLbls>
          <c:showLegendKey val="false"/>
          <c:showVal val="false"/>
          <c:showCatName val="false"/>
          <c:showSerName val="false"/>
          <c:showPercent val="false"/>
          <c:showBubbleSize val="false"/>
        </c:dLbls>
        <c:gapWidth val="150"/>
        <c:overlap val="100"/>
        <c:axId val="451781960"/>
        <c:axId val="355772721"/>
      </c:barChart>
      <c:catAx>
        <c:axId val="45178196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crossAx val="355772721"/>
        <c:crosses val="autoZero"/>
        <c:auto val="true"/>
        <c:lblAlgn val="ctr"/>
        <c:lblOffset val="100"/>
        <c:noMultiLvlLbl val="false"/>
      </c:catAx>
      <c:valAx>
        <c:axId val="355772721"/>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5178196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8102385419459"/>
          <c:y val="0.0470914127423823"/>
        </c:manualLayout>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2024年度一般公共预算财政拨款支出</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0"/>
              <c:layout>
                <c:manualLayout>
                  <c:x val="-0.135604354633668"/>
                  <c:y val="-0.11386602523656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827640272575464"/>
                  <c:y val="-0.031257457576808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237493408537817"/>
                  <c:y val="0.023855662317425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401.12</c:v>
                </c:pt>
                <c:pt idx="1">
                  <c:v>48.94</c:v>
                </c:pt>
                <c:pt idx="2">
                  <c:v>12.06</c:v>
                </c:pt>
                <c:pt idx="3">
                  <c:v>31.08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2024年度“三公”经费财政拨款支出</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delete val="true"/>
            </c:dLbl>
            <c:dLbl>
              <c:idx val="1"/>
              <c:delete val="true"/>
            </c:dLbl>
            <c:dLbl>
              <c:idx val="2"/>
              <c:layout>
                <c:manualLayout>
                  <c:x val="-0.0039274513845166"/>
                  <c:y val="-0.206416834680435"/>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0.</a:t>
                    </a:r>
                    <a:r>
                      <a:rPr lang="en-US" altLang="zh-CN"/>
                      <a:t>26</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因公出国（境）经费支出</c:v>
                </c:pt>
                <c:pt idx="1">
                  <c:v>公务用车购置及运行维护费支出</c:v>
                </c:pt>
                <c:pt idx="2">
                  <c:v>公务接待费支出</c:v>
                </c:pt>
              </c:strCache>
            </c:strRef>
          </c:cat>
          <c:val>
            <c:numRef>
              <c:f>Sheet1!$B$2:$B$4</c:f>
              <c:numCache>
                <c:formatCode>General</c:formatCode>
                <c:ptCount val="3"/>
                <c:pt idx="2">
                  <c:v>0.75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4478</Words>
  <Characters>4894</Characters>
  <Lines>61</Lines>
  <Paragraphs>17</Paragraphs>
  <TotalTime>11</TotalTime>
  <ScaleCrop>false</ScaleCrop>
  <LinksUpToDate>false</LinksUpToDate>
  <CharactersWithSpaces>4962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2020-08-12T17:49:00Z</dcterms:created>
  <dc:creator>曹颖</dc:creator>
  <cp:lastModifiedBy> </cp:lastModifiedBy>
  <cp:lastPrinted>2025-08-10T01:34:00Z</cp:lastPrinted>
  <dcterms:modified xsi:type="dcterms:W3CDTF">2025-10-11T13:07:51Z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04787F2533EB45DC91BCDE4AB213247F</vt:lpwstr>
  </property>
  <property fmtid="{D5CDD505-2E9C-101B-9397-08002B2CF9AE}" pid="4" name="KSOTemplateDocerSaveRecord">
    <vt:lpwstr>eyJoZGlkIjoiYTc2ZGZiNzZiNDVlOGViOWVmM2JhOTY0NGJkNjUyYzgiLCJ1c2VySWQiOiIyMjA2OTAwNTAifQ==</vt:lpwstr>
  </property>
</Properties>
</file>